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3144D8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3144D8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3144D8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 н</w:t>
      </w:r>
      <w:r w:rsidR="00222A6F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право заключения </w:t>
      </w:r>
      <w:r w:rsidR="00460070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544A5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Start w:id="0" w:name="_Hlk15311028"/>
      <w:r w:rsidR="003E671F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</w:t>
      </w:r>
      <w:r w:rsidR="00C544A5"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B704AA" w:rsidRPr="003144D8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3144D8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4D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1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868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D4310E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6A1E" w:rsidRPr="001C519C">
        <w:rPr>
          <w:rFonts w:ascii="Times New Roman" w:eastAsia="Times New Roman" w:hAnsi="Times New Roman" w:cs="Times New Roman"/>
          <w:sz w:val="24"/>
          <w:szCs w:val="24"/>
          <w:lang w:eastAsia="ru-RU"/>
        </w:rPr>
        <w:t>08.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E671F" w:rsidRPr="003144D8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D4310E" w:rsidRPr="003144D8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C96A1E" w:rsidRPr="00237EB0" w:rsidRDefault="00C96A1E" w:rsidP="00C96A1E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 в электронной форме:</w:t>
      </w:r>
      <w:bookmarkEnd w:id="1"/>
      <w:bookmarkEnd w:id="2"/>
      <w:bookmarkEnd w:id="3"/>
      <w:r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3"/>
      <w:bookmarkStart w:id="10" w:name="OLE_LINK82"/>
      <w:bookmarkStart w:id="11" w:name="OLE_LINK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(далее также – </w:t>
      </w:r>
      <w:bookmarkStart w:id="12" w:name="OLE_LINK68"/>
      <w:bookmarkStart w:id="13" w:name="OLE_LINK67"/>
      <w:bookmarkStart w:id="14" w:name="OLE_LINK66"/>
      <w:bookmarkStart w:id="15" w:name="OLE_LINK65"/>
      <w:bookmarkStart w:id="16" w:name="OLE_LINK6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8 600 тонн.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</w:t>
      </w:r>
      <w:bookmarkStart w:id="17" w:name="_Hlk1418975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56 330 000 (Пятьдесят шесть миллионов триста тридцать тысяч) рублей 00 копеек, с учетом НДС.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30.06.2022г. включительно в строгом соответствии с письменной заявкой Покупателя.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поставки/погрузки: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Поставщика (Грузоотправителя) в  г. Мурманск.  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A1E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</w:t>
      </w:r>
    </w:p>
    <w:bookmarkEnd w:id="8"/>
    <w:p w:rsidR="00C96A1E" w:rsidRPr="00C2689C" w:rsidRDefault="00C96A1E" w:rsidP="00C96A1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96A1E" w:rsidRPr="00237EB0" w:rsidRDefault="00C96A1E" w:rsidP="00C96A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96A1E" w:rsidRPr="00C2689C" w:rsidRDefault="00C96A1E" w:rsidP="00122D55">
      <w:pPr>
        <w:pStyle w:val="a5"/>
        <w:numPr>
          <w:ilvl w:val="0"/>
          <w:numId w:val="8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122D55" w:rsidRPr="0012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участие в конкурентных переговорах в электронной форме на право заключения договора поставки угля принимали участие:</w:t>
      </w:r>
    </w:p>
    <w:p w:rsidR="00C96A1E" w:rsidRPr="00C2689C" w:rsidRDefault="00C96A1E" w:rsidP="00C96A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C96A1E" w:rsidRDefault="00C96A1E" w:rsidP="00C96A1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обеспечения.</w:t>
      </w:r>
    </w:p>
    <w:p w:rsidR="00C96A1E" w:rsidRDefault="00C96A1E" w:rsidP="00C96A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96A1E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АА.В. Тишкин – начальника отдела экономической безопасности;</w:t>
      </w:r>
    </w:p>
    <w:p w:rsidR="00C96A1E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C96A1E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Посунько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горюче-смазочным материалам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C96A1E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Осетрова – специалист по горюче-смазочным материалам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96A1E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96A1E" w:rsidRDefault="00C96A1E" w:rsidP="00C96A1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bookmarkEnd w:id="18"/>
    </w:p>
    <w:p w:rsidR="00A06DCA" w:rsidRPr="003144D8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56928" w:rsidRPr="00391429" w:rsidRDefault="00756928" w:rsidP="00391429">
      <w:pPr>
        <w:pStyle w:val="a5"/>
        <w:keepNext/>
        <w:keepLines/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Заседание Комиссии по закупке проводилось </w:t>
      </w:r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08.11</w:t>
      </w:r>
      <w:r w:rsidR="00391429" w:rsidRPr="0039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 по адресу: г. Мурманск, ул.</w:t>
      </w:r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Домостроительная, д. 2, </w:t>
      </w:r>
      <w:proofErr w:type="spellStart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401, начало в 14</w:t>
      </w:r>
      <w:r w:rsidR="00391429" w:rsidRPr="0039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(МСК)</w:t>
      </w:r>
      <w:r w:rsidRPr="0039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56928" w:rsidRPr="003144D8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407E2" w:rsidRPr="003144D8" w:rsidRDefault="00E54ADD" w:rsidP="00391429">
      <w:pPr>
        <w:pStyle w:val="1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391429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92751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</w:t>
      </w:r>
      <w:r w:rsidR="00C544A5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3E671F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угля </w:t>
      </w:r>
      <w:r w:rsidR="00391429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 </w:t>
      </w:r>
      <w:r w:rsidR="00C96A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08.11</w:t>
      </w:r>
      <w:r w:rsidR="00812747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957A1B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606925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по тексту – Протокол рассмотрения заявок) на </w:t>
      </w:r>
      <w:r w:rsidR="002B460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заседании Комиссией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D4310E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B46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225F2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Pr="003144D8" w:rsidRDefault="009E6D85" w:rsidP="00A5442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3144D8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96A1E" w:rsidRPr="00C2689C" w:rsidRDefault="00756928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A1E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 «МУК»), </w:t>
      </w:r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191014, г. Санкт-Петербург, </w:t>
      </w:r>
      <w:proofErr w:type="spellStart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тер. г. Муниципальный округ Литейный округ, пер. Басков, д. 5, литера А, пом. 7-Н, оф. 11Б (ИНН 5190076950, КПП 784101001, ОГРН 1185190002733</w:t>
      </w:r>
      <w:r w:rsidR="00C96A1E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57A1B" w:rsidRPr="003144D8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02.11.2021 10:56 (МСК)</w:t>
      </w:r>
      <w:r w:rsidR="002B4602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57A1B" w:rsidRPr="003144D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756928" w:rsidRPr="002B4602" w:rsidRDefault="00756928" w:rsidP="00957A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56 330 000</w:t>
      </w:r>
      <w:r w:rsidR="00EB2CD8"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  <w:r w:rsidR="002B4602" w:rsidRPr="002B4602">
        <w:t xml:space="preserve"> </w:t>
      </w:r>
    </w:p>
    <w:p w:rsidR="00C96A1E" w:rsidRPr="00C2689C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7A1B" w:rsidRPr="002B4602" w:rsidRDefault="00C96A1E" w:rsidP="00C9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57A1B"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6928" w:rsidRPr="003144D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ED6975" w:rsidRPr="002B4602" w:rsidRDefault="001C73C8" w:rsidP="002B4602">
      <w:pPr>
        <w:pStyle w:val="1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2B46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2B4602" w:rsidRDefault="00ED6975" w:rsidP="00957A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2B4602" w:rsidRDefault="003650F5" w:rsidP="002B4602">
      <w:pPr>
        <w:pStyle w:val="a5"/>
        <w:numPr>
          <w:ilvl w:val="1"/>
          <w:numId w:val="8"/>
        </w:numPr>
        <w:tabs>
          <w:tab w:val="left" w:pos="546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19" w:name="_Hlk15312736"/>
      <w:r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7A1B"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2B46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46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19"/>
      <w:r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</w:t>
      </w:r>
      <w:r w:rsidR="00567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включить в перечень Участников конкурентных переговоров</w:t>
      </w:r>
      <w:r w:rsidR="00567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2B4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4423" w:rsidRPr="005F31A1" w:rsidRDefault="00A54423" w:rsidP="005F31A1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</w:t>
      </w:r>
      <w:r w:rsidR="002B4602"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 5190907139, ОГРН 1095190009111), п.</w:t>
      </w:r>
      <w:r w:rsidRPr="005F3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</w:t>
      </w:r>
      <w:r w:rsidR="001C519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в </w:t>
      </w:r>
      <w:r w:rsidR="001C519C" w:rsidRPr="00F710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 на право заключения договора поставки угля (далее – Документация)</w:t>
      </w:r>
      <w:r w:rsidR="001C5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конкурентные переговоры </w:t>
      </w:r>
      <w:r w:rsidR="005F31A1"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проводятся, так как в перечень Участников конкурентных переговоров </w:t>
      </w:r>
      <w:r w:rsidR="00567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F3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 только один участник.</w:t>
      </w:r>
    </w:p>
    <w:p w:rsidR="00957A1B" w:rsidRPr="005F31A1" w:rsidRDefault="00C96A1E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7.5.5.23. Положения о закупке товаров, работ, услуг АО «МЭС» (ИНН 5190907139, ОГРН 1095190009111), п. 4.10.3. Документации признать конкурентные переговоры в электронной форме несостоявшимися и оценить заявку ООО «</w:t>
      </w:r>
      <w:r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 в электронной форме, заявка которого соответствует требованиям Документации)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 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D04A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957A1B" w:rsidRPr="005F3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1A1" w:rsidRDefault="00C96A1E" w:rsidP="005F31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дату и время подведения итогов закупки с 10:00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15.11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5F31A1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A1E" w:rsidRPr="00F32DBA" w:rsidRDefault="00C96A1E" w:rsidP="005F31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2B62" w:rsidRPr="004C5415" w:rsidRDefault="00D62B62" w:rsidP="005F31A1">
      <w:pPr>
        <w:pStyle w:val="a5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4.13.1 Документации Комиссией по закупке была произведена оценка заявки</w:t>
      </w:r>
      <w:r w:rsidRPr="004C54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0" w:name="_Hlk15313075"/>
      <w:r w:rsidR="00A60122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A60122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0"/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="005F31A1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«Квалификация Участника конкурентных переговоров в электронной форме» с применением следующих подкритериев - «Обеспеченность  Участника закупки материально-техническими ресурсами», «Опыт выполнения поставок угля  марки 3БПК, угля марки 3БОМ»</w:t>
      </w:r>
      <w:r w:rsidR="00CB7FFC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B62" w:rsidRPr="004C5415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</w:t>
      </w:r>
      <w:r w:rsidRPr="002661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–</w:t>
      </w:r>
      <w:r w:rsidR="00D4250B" w:rsidRPr="0026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5F2" w:rsidRPr="0026618C">
        <w:rPr>
          <w:rFonts w:ascii="Times New Roman" w:eastAsia="Times New Roman" w:hAnsi="Times New Roman" w:cs="Times New Roman"/>
          <w:sz w:val="24"/>
          <w:szCs w:val="24"/>
          <w:lang w:eastAsia="ru-RU"/>
        </w:rPr>
        <w:t>3,25</w:t>
      </w:r>
      <w:r w:rsidR="00A60122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0E7768" w:rsidRPr="004C5415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4C5415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62B62" w:rsidRPr="003144D8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132C6" w:rsidRPr="004C5415" w:rsidRDefault="00006E8B" w:rsidP="004C5415">
      <w:pPr>
        <w:pStyle w:val="a5"/>
        <w:numPr>
          <w:ilvl w:val="0"/>
          <w:numId w:val="8"/>
        </w:numPr>
        <w:tabs>
          <w:tab w:val="left" w:pos="993"/>
          <w:tab w:val="left" w:pos="5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По результатам рассмотрения и оценки заявки принято решение </w:t>
      </w:r>
      <w:r w:rsidR="007132C6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</w:t>
      </w:r>
      <w:r w:rsidR="000170A0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7132C6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A60122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32C6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191014, г. Санкт-Петербург, </w:t>
      </w:r>
      <w:proofErr w:type="spellStart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тер. г. Муниципальный округ Литейный округ, пер. Басков, д. 5, литера А, пом. 7-Н, оф. 11Б</w:t>
      </w:r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5190076950, КПП 784101001, ОГРН 1185190002733</w:t>
      </w:r>
      <w:r w:rsidR="007132C6" w:rsidRPr="004C5415">
        <w:rPr>
          <w:rFonts w:ascii="Times New Roman" w:eastAsia="Calibri" w:hAnsi="Times New Roman" w:cs="Times New Roman"/>
          <w:sz w:val="24"/>
          <w:szCs w:val="24"/>
        </w:rPr>
        <w:t>,</w:t>
      </w:r>
      <w:r w:rsidR="00957A1B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957A1B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  <w:r w:rsidR="007132C6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</w:t>
      </w:r>
      <w:r w:rsid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132C6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7132C6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</w:t>
      </w:r>
      <w:r w:rsid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и </w:t>
      </w:r>
      <w:r w:rsidR="007132C6" w:rsidRPr="004C54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Документации:</w:t>
      </w:r>
    </w:p>
    <w:p w:rsidR="00957A1B" w:rsidRPr="004C5415" w:rsidRDefault="00A60122" w:rsidP="004C5415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415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(далее также – Продукция, Товар)</w:t>
      </w:r>
      <w:r w:rsidR="00957A1B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Default="00957A1B" w:rsidP="004C5415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="004C5415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8 600 тонн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13"/>
        <w:gridCol w:w="1106"/>
        <w:gridCol w:w="992"/>
        <w:gridCol w:w="2835"/>
        <w:gridCol w:w="2268"/>
      </w:tblGrid>
      <w:tr w:rsidR="00B23898" w:rsidRPr="00B23898" w:rsidTr="003C1C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 </w:t>
            </w:r>
            <w:r w:rsidRPr="0096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единицу Продукции, руб. коп</w:t>
            </w:r>
            <w:proofErr w:type="gramStart"/>
            <w:r w:rsidRPr="0096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.,  </w:t>
            </w:r>
            <w:proofErr w:type="gramEnd"/>
            <w:r w:rsidRPr="0096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6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6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Сумма, руб. коп</w:t>
            </w:r>
            <w:proofErr w:type="gramStart"/>
            <w:r w:rsidRPr="009633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9633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т. ч. НДС</w:t>
            </w:r>
          </w:p>
        </w:tc>
      </w:tr>
      <w:tr w:rsidR="00B23898" w:rsidRPr="00B23898" w:rsidTr="003C1C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Уголь марки 3БПК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963324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24 235 000,00</w:t>
            </w:r>
          </w:p>
        </w:tc>
      </w:tr>
      <w:tr w:rsidR="00B23898" w:rsidRPr="00B23898" w:rsidTr="003C1C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Уголь марки 3БОМ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963324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32 095 000,00</w:t>
            </w:r>
          </w:p>
        </w:tc>
      </w:tr>
      <w:tr w:rsidR="00B23898" w:rsidRPr="00B23898" w:rsidTr="003C1C33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8" w:rsidRPr="00963324" w:rsidRDefault="00B23898" w:rsidP="00B238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33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56 330 000,00</w:t>
            </w:r>
            <w:bookmarkStart w:id="21" w:name="_GoBack"/>
            <w:bookmarkEnd w:id="21"/>
          </w:p>
        </w:tc>
      </w:tr>
    </w:tbl>
    <w:p w:rsidR="00B23898" w:rsidRPr="00B23898" w:rsidRDefault="00B23898" w:rsidP="00B23898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A1B" w:rsidRPr="004C5415" w:rsidRDefault="004C5415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производится отдельными партиями в строгом соответствии с письменной заявкой Покупателя на поставку Продукции</w:t>
      </w:r>
      <w:r w:rsidR="00957A1B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7A1B" w:rsidRPr="004C5415" w:rsidRDefault="004C5415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957A1B"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4C5415" w:rsidRDefault="00957A1B" w:rsidP="004C5415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56 330 000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шесть миллионов триста тридцать</w:t>
      </w:r>
      <w:r w:rsidR="000B5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FE" w:rsidRPr="00234D5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Pr="00234D5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957A1B" w:rsidRPr="004C5415" w:rsidRDefault="00C96A1E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957A1B" w:rsidRPr="004C541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57A1B" w:rsidRPr="00F22CE3" w:rsidRDefault="00957A1B" w:rsidP="004C5415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4C54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4C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30.06.2022г. включительно в строгом соответствии с письменной заявкой Покупателя</w:t>
      </w: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F22CE3" w:rsidRDefault="00957A1B" w:rsidP="00F22CE3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</w:t>
      </w:r>
      <w:r w:rsidR="004C5415"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/погрузки</w:t>
      </w: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Поставщика (Грузоотправителя),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расположенный по адресу: </w:t>
      </w:r>
      <w:r w:rsidR="00C96A1E">
        <w:rPr>
          <w:rFonts w:ascii="Times New Roman" w:hAnsi="Times New Roman" w:cs="Times New Roman"/>
          <w:sz w:val="24"/>
          <w:szCs w:val="24"/>
        </w:rPr>
        <w:t>территория АО «ММТП», г. Мурманск, Портовый проезд, д.22</w:t>
      </w: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57A1B" w:rsidRPr="00F22CE3" w:rsidRDefault="00957A1B" w:rsidP="00F22CE3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условия:</w:t>
      </w: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A1E" w:rsidRP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957A1B" w:rsidRPr="00F22CE3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</w:t>
      </w:r>
      <w:r w:rsidR="00957A1B"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F22CE3" w:rsidRDefault="00F22CE3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</w:t>
      </w:r>
      <w:r w:rsidR="00957A1B"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F22CE3" w:rsidRDefault="00957A1B" w:rsidP="00F22CE3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C96A1E" w:rsidRPr="00C96A1E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957A1B" w:rsidRPr="00F22CE3" w:rsidRDefault="00C96A1E" w:rsidP="00C96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957A1B"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F22CE3" w:rsidRDefault="00957A1B" w:rsidP="00F22CE3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C9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7768" w:rsidRPr="00F22CE3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F22CE3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F22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22D4E" w:rsidRPr="003144D8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7E8C" w:rsidRPr="00567C1B" w:rsidRDefault="000D7E8C" w:rsidP="00F22CE3">
      <w:pPr>
        <w:pStyle w:val="a5"/>
        <w:numPr>
          <w:ilvl w:val="0"/>
          <w:numId w:val="8"/>
        </w:numPr>
        <w:tabs>
          <w:tab w:val="left" w:pos="993"/>
          <w:tab w:val="left" w:pos="5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7C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567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567C1B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 w:rsidRPr="00567C1B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567C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567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567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567C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567C1B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7C1B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567C1B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C1B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103B4B" w:rsidRPr="003144D8" w:rsidRDefault="00103B4B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3144D8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C96A1E" w:rsidTr="00AE0F35">
        <w:tc>
          <w:tcPr>
            <w:tcW w:w="73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96A1E" w:rsidRDefault="00C96A1E" w:rsidP="00AE0F35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96A1E" w:rsidTr="00AE0F35">
        <w:tc>
          <w:tcPr>
            <w:tcW w:w="73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A1E" w:rsidTr="00AE0F35">
        <w:tc>
          <w:tcPr>
            <w:tcW w:w="73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96A1E" w:rsidTr="00AE0F35">
        <w:tc>
          <w:tcPr>
            <w:tcW w:w="7338" w:type="dxa"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96A1E" w:rsidTr="00AE0F35">
        <w:trPr>
          <w:trHeight w:val="554"/>
        </w:trPr>
        <w:tc>
          <w:tcPr>
            <w:tcW w:w="7338" w:type="dxa"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Посунько</w:t>
            </w:r>
            <w:proofErr w:type="spellEnd"/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96A1E" w:rsidTr="00AE0F35">
        <w:trPr>
          <w:trHeight w:val="554"/>
        </w:trPr>
        <w:tc>
          <w:tcPr>
            <w:tcW w:w="7338" w:type="dxa"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Осетрова</w:t>
            </w:r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96A1E" w:rsidTr="00AE0F35">
        <w:trPr>
          <w:trHeight w:val="453"/>
        </w:trPr>
        <w:tc>
          <w:tcPr>
            <w:tcW w:w="7338" w:type="dxa"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6A1E" w:rsidTr="00AE0F35">
        <w:trPr>
          <w:trHeight w:val="80"/>
        </w:trPr>
        <w:tc>
          <w:tcPr>
            <w:tcW w:w="73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hideMark/>
          </w:tcPr>
          <w:p w:rsidR="00C96A1E" w:rsidRDefault="00C96A1E" w:rsidP="00AE0F35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124E80" w:rsidRPr="002A28A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2A28A6" w:rsidSect="00B42236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DD" w:rsidRDefault="001200DD">
      <w:pPr>
        <w:spacing w:after="0" w:line="240" w:lineRule="auto"/>
      </w:pPr>
      <w:r>
        <w:separator/>
      </w:r>
    </w:p>
  </w:endnote>
  <w:endnote w:type="continuationSeparator" w:id="0">
    <w:p w:rsidR="001200DD" w:rsidRDefault="0012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DD" w:rsidRDefault="001200DD">
      <w:pPr>
        <w:spacing w:after="0" w:line="240" w:lineRule="auto"/>
      </w:pPr>
      <w:r>
        <w:separator/>
      </w:r>
    </w:p>
  </w:footnote>
  <w:footnote w:type="continuationSeparator" w:id="0">
    <w:p w:rsidR="001200DD" w:rsidRDefault="0012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324">
          <w:rPr>
            <w:noProof/>
          </w:rPr>
          <w:t>2</w:t>
        </w:r>
        <w:r>
          <w:fldChar w:fldCharType="end"/>
        </w:r>
      </w:p>
      <w:p w:rsidR="00947772" w:rsidRPr="00A60122" w:rsidRDefault="00222A6F" w:rsidP="00391429">
        <w:pPr>
          <w:spacing w:after="0" w:line="240" w:lineRule="auto"/>
          <w:ind w:left="6237"/>
          <w:jc w:val="both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="00391429" w:rsidRPr="003914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на участие в конкурентных переговорах в электронной форме на право заключения договора поставки угля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C96A1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08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C96A1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3E671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</w:p>
      <w:p w:rsidR="00C23602" w:rsidRPr="00947772" w:rsidRDefault="00963324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FB12A81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слова Татьяна Николаевн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81124"/>
    <w:rsid w:val="000828B6"/>
    <w:rsid w:val="00093BC5"/>
    <w:rsid w:val="000A256B"/>
    <w:rsid w:val="000B27CB"/>
    <w:rsid w:val="000B5198"/>
    <w:rsid w:val="000B51FE"/>
    <w:rsid w:val="000B5A8D"/>
    <w:rsid w:val="000B6F8D"/>
    <w:rsid w:val="000D0127"/>
    <w:rsid w:val="000D63A2"/>
    <w:rsid w:val="000D7E8C"/>
    <w:rsid w:val="000E120E"/>
    <w:rsid w:val="000E282D"/>
    <w:rsid w:val="000E7768"/>
    <w:rsid w:val="000F4B36"/>
    <w:rsid w:val="000F5324"/>
    <w:rsid w:val="000F653F"/>
    <w:rsid w:val="001006E3"/>
    <w:rsid w:val="00102552"/>
    <w:rsid w:val="00103B4B"/>
    <w:rsid w:val="001050FF"/>
    <w:rsid w:val="0011017D"/>
    <w:rsid w:val="001200DD"/>
    <w:rsid w:val="00122D55"/>
    <w:rsid w:val="00124E80"/>
    <w:rsid w:val="00131E9B"/>
    <w:rsid w:val="001353B9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519C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4D51"/>
    <w:rsid w:val="00236986"/>
    <w:rsid w:val="00247D65"/>
    <w:rsid w:val="00252B90"/>
    <w:rsid w:val="00252BC5"/>
    <w:rsid w:val="002617C5"/>
    <w:rsid w:val="00265D9D"/>
    <w:rsid w:val="0026618C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B4602"/>
    <w:rsid w:val="002C23B4"/>
    <w:rsid w:val="002C4000"/>
    <w:rsid w:val="002C5E4B"/>
    <w:rsid w:val="002D3899"/>
    <w:rsid w:val="002D43A1"/>
    <w:rsid w:val="002D54A1"/>
    <w:rsid w:val="002D7F6C"/>
    <w:rsid w:val="002E44AB"/>
    <w:rsid w:val="002F0DDA"/>
    <w:rsid w:val="002F560E"/>
    <w:rsid w:val="00303583"/>
    <w:rsid w:val="003062A6"/>
    <w:rsid w:val="00306A97"/>
    <w:rsid w:val="00313D8D"/>
    <w:rsid w:val="003144D8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1429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3E671F"/>
    <w:rsid w:val="0040040C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A7D82"/>
    <w:rsid w:val="004B1B30"/>
    <w:rsid w:val="004B27FC"/>
    <w:rsid w:val="004B4FD9"/>
    <w:rsid w:val="004B5C6A"/>
    <w:rsid w:val="004B7D0A"/>
    <w:rsid w:val="004C3A0B"/>
    <w:rsid w:val="004C5415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25F2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67C1B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31A1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6928"/>
    <w:rsid w:val="00766C0A"/>
    <w:rsid w:val="00773CE1"/>
    <w:rsid w:val="00781299"/>
    <w:rsid w:val="00782433"/>
    <w:rsid w:val="00783FD4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D04AF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9383E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42E9"/>
    <w:rsid w:val="00947772"/>
    <w:rsid w:val="009515C7"/>
    <w:rsid w:val="00953806"/>
    <w:rsid w:val="00957A1B"/>
    <w:rsid w:val="00963324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A03349"/>
    <w:rsid w:val="00A06DCA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3898"/>
    <w:rsid w:val="00B2783A"/>
    <w:rsid w:val="00B31DA8"/>
    <w:rsid w:val="00B36FE0"/>
    <w:rsid w:val="00B41FCC"/>
    <w:rsid w:val="00B42236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0B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9552D"/>
    <w:rsid w:val="00C95AAB"/>
    <w:rsid w:val="00C96A1E"/>
    <w:rsid w:val="00CA0567"/>
    <w:rsid w:val="00CA753C"/>
    <w:rsid w:val="00CB4160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037B"/>
    <w:rsid w:val="00D16E23"/>
    <w:rsid w:val="00D22D4E"/>
    <w:rsid w:val="00D2589A"/>
    <w:rsid w:val="00D326C0"/>
    <w:rsid w:val="00D33420"/>
    <w:rsid w:val="00D34AB8"/>
    <w:rsid w:val="00D37EB0"/>
    <w:rsid w:val="00D4250B"/>
    <w:rsid w:val="00D4310E"/>
    <w:rsid w:val="00D43C51"/>
    <w:rsid w:val="00D43E91"/>
    <w:rsid w:val="00D5033F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559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48A1"/>
    <w:rsid w:val="00EB2CD8"/>
    <w:rsid w:val="00EC13D3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2CE3"/>
    <w:rsid w:val="00F233E9"/>
    <w:rsid w:val="00F24110"/>
    <w:rsid w:val="00F24388"/>
    <w:rsid w:val="00F4069B"/>
    <w:rsid w:val="00F42344"/>
    <w:rsid w:val="00F444E4"/>
    <w:rsid w:val="00F535EE"/>
    <w:rsid w:val="00F55643"/>
    <w:rsid w:val="00F71AE6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6508C-5873-4E94-9549-C78C77CA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Валерия А. Ермоленко</cp:lastModifiedBy>
  <cp:revision>9</cp:revision>
  <cp:lastPrinted>2021-05-31T06:55:00Z</cp:lastPrinted>
  <dcterms:created xsi:type="dcterms:W3CDTF">2021-07-21T11:54:00Z</dcterms:created>
  <dcterms:modified xsi:type="dcterms:W3CDTF">2021-11-08T13:30:00Z</dcterms:modified>
</cp:coreProperties>
</file>