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D0AD5" w:rsidRDefault="00070184" w:rsidP="00B162F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5C05EA" w:rsidRPr="004D0AD5" w:rsidRDefault="00070184" w:rsidP="00B162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139E" w:rsidRPr="004D0AD5">
        <w:rPr>
          <w:rFonts w:ascii="Times New Roman" w:hAnsi="Times New Roman" w:cs="Times New Roman"/>
          <w:b/>
          <w:bCs/>
          <w:sz w:val="23"/>
          <w:szCs w:val="23"/>
        </w:rPr>
        <w:t>подогревателя мазута ПМР 64-30</w:t>
      </w:r>
    </w:p>
    <w:bookmarkEnd w:id="0"/>
    <w:p w:rsidR="006F4E93" w:rsidRPr="004D0AD5" w:rsidRDefault="006F4E93" w:rsidP="00B162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4D0AD5" w:rsidRDefault="00373617" w:rsidP="00B162F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139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4139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20CFA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4D0AD5" w:rsidRDefault="0068529C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4D0AD5" w:rsidRDefault="00CE7113" w:rsidP="00B162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4D0AD5" w:rsidRDefault="006F4E93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4D0AD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4D0AD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220CFA" w:rsidRPr="004D0AD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04139E" w:rsidRPr="004D0AD5">
        <w:rPr>
          <w:rFonts w:ascii="Times New Roman" w:hAnsi="Times New Roman" w:cs="Times New Roman"/>
          <w:bCs/>
          <w:sz w:val="23"/>
          <w:szCs w:val="23"/>
        </w:rPr>
        <w:t>подогревателя мазута ПМР 64-30</w:t>
      </w:r>
      <w:r w:rsidR="00E34E3F" w:rsidRPr="004D0AD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4D0AD5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4D0AD5">
        <w:rPr>
          <w:rFonts w:ascii="Times New Roman" w:hAnsi="Times New Roman" w:cs="Times New Roman"/>
          <w:bCs/>
          <w:sz w:val="23"/>
          <w:szCs w:val="23"/>
        </w:rPr>
        <w:t>.</w:t>
      </w:r>
      <w:bookmarkEnd w:id="13"/>
      <w:bookmarkEnd w:id="14"/>
      <w:bookmarkEnd w:id="15"/>
    </w:p>
    <w:p w:rsidR="00173F53" w:rsidRPr="004D0AD5" w:rsidRDefault="006F4E93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73F53" w:rsidRPr="004D0AD5">
        <w:rPr>
          <w:rFonts w:ascii="Times New Roman" w:hAnsi="Times New Roman" w:cs="Times New Roman"/>
          <w:bCs/>
          <w:sz w:val="23"/>
          <w:szCs w:val="23"/>
        </w:rPr>
        <w:t>1</w:t>
      </w:r>
      <w:r w:rsidR="009A59A5" w:rsidRPr="004D0AD5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4D0AD5">
        <w:rPr>
          <w:rFonts w:ascii="Times New Roman" w:hAnsi="Times New Roman" w:cs="Times New Roman"/>
          <w:bCs/>
          <w:sz w:val="23"/>
          <w:szCs w:val="23"/>
        </w:rPr>
        <w:t>шт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4139E" w:rsidRPr="004D0AD5" w:rsidRDefault="006F4E93" w:rsidP="00B162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4139E" w:rsidRPr="004D0AD5">
        <w:rPr>
          <w:rFonts w:ascii="Times New Roman" w:hAnsi="Times New Roman" w:cs="Times New Roman"/>
          <w:iCs/>
          <w:sz w:val="23"/>
          <w:szCs w:val="23"/>
        </w:rPr>
        <w:t xml:space="preserve">1 668 176 (Один миллион шестьсот шестьдесят восемь тысяч сто семьдесят шесть) рублей 67 копеек, в том числе НДС. </w:t>
      </w:r>
    </w:p>
    <w:p w:rsidR="00E34E3F" w:rsidRPr="004D0AD5" w:rsidRDefault="0004139E" w:rsidP="00B162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hAnsi="Times New Roman" w:cs="Times New Roman"/>
          <w:i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20CFA"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220CFA" w:rsidRPr="004D0AD5" w:rsidRDefault="006F4E93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20CFA" w:rsidRPr="004D0AD5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220CFA" w:rsidRPr="004D0AD5" w:rsidRDefault="00061AA6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4D0AD5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4D0AD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04139E" w:rsidRPr="004D0AD5">
        <w:rPr>
          <w:rFonts w:ascii="Times New Roman" w:hAnsi="Times New Roman"/>
          <w:bCs/>
          <w:sz w:val="23"/>
          <w:szCs w:val="23"/>
        </w:rPr>
        <w:t>Мурманская область, г. Североморск, ул. Сгибнева, котельная района №2</w:t>
      </w:r>
      <w:r w:rsidR="00220CFA"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370648" w:rsidRPr="004D0AD5" w:rsidRDefault="00061AA6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04139E" w:rsidRPr="004D0AD5" w:rsidRDefault="0004139E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 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При передаче Товара Поставщик передает Покупателю:</w:t>
      </w:r>
    </w:p>
    <w:p w:rsidR="0004139E" w:rsidRPr="004D0AD5" w:rsidRDefault="0004139E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- всю техническую документацию на поставляемый товар;</w:t>
      </w:r>
    </w:p>
    <w:p w:rsidR="0004139E" w:rsidRPr="004D0AD5" w:rsidRDefault="0004139E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- документацию, в соответствии с требованиями Технического Регламента Таможенного Союза (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3.7.5.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032/2013);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ФНП «ОРПД».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04139E" w:rsidRPr="004D0AD5" w:rsidRDefault="0004139E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0CFA" w:rsidRPr="004D0AD5" w:rsidRDefault="0004139E" w:rsidP="00B16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220CFA"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04139E" w:rsidRPr="004D0AD5" w:rsidRDefault="00B066CD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04139E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</w:t>
      </w:r>
      <w:r w:rsidR="0004139E"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(не бывшим в эксплуатации) </w:t>
      </w:r>
      <w:r w:rsidR="0004139E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изготовленным не ранее 1 (первого) квартала 2018 года. </w:t>
      </w:r>
    </w:p>
    <w:p w:rsidR="00061AA6" w:rsidRPr="004D0AD5" w:rsidRDefault="0004139E" w:rsidP="00B162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</w:t>
      </w:r>
      <w:r w:rsidRPr="004D0AD5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: </w:t>
      </w: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на</w:t>
      </w:r>
      <w:proofErr w:type="gramEnd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220CFA"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881961" w:rsidRPr="004D0AD5" w:rsidRDefault="00061AA6" w:rsidP="00B162F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lastRenderedPageBreak/>
        <w:t>1.8.</w:t>
      </w:r>
      <w:r w:rsidR="00B066CD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  <w:proofErr w:type="gramStart"/>
      <w:r w:rsidR="0004139E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881961" w:rsidRPr="004D0AD5">
        <w:rPr>
          <w:rFonts w:ascii="Times New Roman" w:hAnsi="Times New Roman" w:cs="Times New Roman"/>
          <w:i/>
          <w:sz w:val="23"/>
          <w:szCs w:val="23"/>
          <w:lang w:eastAsia="ar-SA"/>
        </w:rPr>
        <w:t>.</w:t>
      </w:r>
      <w:proofErr w:type="gramEnd"/>
    </w:p>
    <w:p w:rsidR="00584909" w:rsidRPr="004D0AD5" w:rsidRDefault="00584909" w:rsidP="00B16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4D0AD5" w:rsidRDefault="00CE7113" w:rsidP="00B162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4D0AD5" w:rsidRDefault="00CE7113" w:rsidP="00B162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4D0AD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81961" w:rsidRPr="004D0AD5" w:rsidRDefault="00881961" w:rsidP="00B162F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sz w:val="23"/>
          <w:szCs w:val="23"/>
          <w:lang w:eastAsia="ar-SA"/>
        </w:rPr>
        <w:t>И.А. Обухов – ВРИО начальника управления материально-технического обеспечения АО «МЭС».</w:t>
      </w:r>
    </w:p>
    <w:p w:rsidR="00881961" w:rsidRPr="004D0AD5" w:rsidRDefault="00881961" w:rsidP="00B162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81961" w:rsidRPr="004D0AD5" w:rsidRDefault="00881961" w:rsidP="00B162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4D0AD5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4D0AD5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CD1EE5" w:rsidRPr="004D0AD5">
        <w:rPr>
          <w:rFonts w:ascii="Times New Roman" w:hAnsi="Times New Roman" w:cs="Times New Roman"/>
          <w:sz w:val="23"/>
          <w:szCs w:val="23"/>
          <w:lang w:eastAsia="ar-SA"/>
        </w:rPr>
        <w:t>ВРИО начальника</w:t>
      </w:r>
      <w:r w:rsidRPr="004D0AD5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1961" w:rsidRPr="004D0AD5" w:rsidRDefault="00881961" w:rsidP="00B162F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881961" w:rsidRPr="004D0AD5" w:rsidRDefault="00881961" w:rsidP="00B162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sz w:val="23"/>
          <w:szCs w:val="23"/>
        </w:rPr>
        <w:t>Л.К. Мельникова – заместитель начальника производственно-технического отдела филиала АО «МЭС» «Североморская теплосеть»;</w:t>
      </w:r>
    </w:p>
    <w:p w:rsidR="00881961" w:rsidRPr="004D0AD5" w:rsidRDefault="00881961" w:rsidP="00B162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D0AD5">
        <w:rPr>
          <w:rFonts w:ascii="Times New Roman" w:hAnsi="Times New Roman" w:cs="Times New Roman"/>
          <w:sz w:val="23"/>
          <w:szCs w:val="23"/>
          <w:lang w:eastAsia="ar-SA"/>
        </w:rPr>
        <w:t>Р.В.</w:t>
      </w:r>
      <w:r w:rsidR="00451828" w:rsidRPr="004D0AD5">
        <w:rPr>
          <w:rFonts w:ascii="Times New Roman" w:hAnsi="Times New Roman" w:cs="Times New Roman"/>
          <w:sz w:val="23"/>
          <w:szCs w:val="23"/>
          <w:lang w:eastAsia="ar-SA"/>
        </w:rPr>
        <w:t> </w:t>
      </w:r>
      <w:proofErr w:type="spellStart"/>
      <w:r w:rsidRPr="004D0AD5">
        <w:rPr>
          <w:rFonts w:ascii="Times New Roman" w:hAnsi="Times New Roman" w:cs="Times New Roman"/>
          <w:sz w:val="23"/>
          <w:szCs w:val="23"/>
          <w:lang w:eastAsia="ar-SA"/>
        </w:rPr>
        <w:t>Чистенко</w:t>
      </w:r>
      <w:proofErr w:type="spellEnd"/>
      <w:r w:rsidRPr="004D0AD5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4D0AD5">
        <w:rPr>
          <w:rFonts w:ascii="Times New Roman" w:hAnsi="Times New Roman" w:cs="Times New Roman"/>
          <w:sz w:val="23"/>
          <w:szCs w:val="23"/>
        </w:rPr>
        <w:t>–</w:t>
      </w:r>
      <w:r w:rsidRPr="004D0AD5">
        <w:rPr>
          <w:rFonts w:ascii="Times New Roman" w:hAnsi="Times New Roman" w:cs="Times New Roman"/>
          <w:sz w:val="23"/>
          <w:szCs w:val="23"/>
          <w:lang w:eastAsia="ar-SA"/>
        </w:rPr>
        <w:t xml:space="preserve"> начальник производственно-технического отдела филиала АО «МЭС» «Североморская теплосеть».</w:t>
      </w:r>
    </w:p>
    <w:p w:rsidR="00CE7113" w:rsidRPr="004D0AD5" w:rsidRDefault="00CE7113" w:rsidP="00B162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4D0AD5" w:rsidRDefault="00CD1EE5" w:rsidP="00B162F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487802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4D0AD5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CE7113" w:rsidRPr="004D0AD5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6"/>
    <w:p w:rsidR="00C818CF" w:rsidRPr="004D0AD5" w:rsidRDefault="00C818CF" w:rsidP="00B162F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4D0AD5" w:rsidRDefault="008249A7" w:rsidP="00B162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4D0A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D1EE5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476B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881961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D1EE5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02FEA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E4340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4D0A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02FEA" w:rsidRPr="004D0AD5" w:rsidRDefault="00102FEA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Одна) заявка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81961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CD1EE5" w:rsidRPr="004D0AD5" w:rsidRDefault="00CD1EE5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102FEA" w:rsidRPr="004D0AD5" w:rsidRDefault="00102FEA" w:rsidP="00B162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Акционерное о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бщество </w:t>
      </w:r>
      <w:r w:rsidR="00515888" w:rsidRPr="004D0AD5">
        <w:rPr>
          <w:rFonts w:ascii="Times New Roman" w:hAnsi="Times New Roman" w:cs="Times New Roman"/>
          <w:sz w:val="23"/>
          <w:szCs w:val="23"/>
        </w:rPr>
        <w:t>«</w:t>
      </w:r>
      <w:r w:rsidR="00FF0D91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0D91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0D91" w:rsidRPr="004D0AD5">
        <w:rPr>
          <w:rFonts w:ascii="Times New Roman" w:hAnsi="Times New Roman" w:cs="Times New Roman"/>
          <w:sz w:val="23"/>
          <w:szCs w:val="23"/>
        </w:rPr>
        <w:t>-Строй</w:t>
      </w:r>
      <w:r w:rsidR="00515888" w:rsidRPr="004D0AD5">
        <w:rPr>
          <w:rFonts w:ascii="Times New Roman" w:hAnsi="Times New Roman" w:cs="Times New Roman"/>
          <w:sz w:val="23"/>
          <w:szCs w:val="23"/>
        </w:rPr>
        <w:t>»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 «</w:t>
      </w:r>
      <w:r w:rsidR="00FF0D91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0D91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0D91" w:rsidRPr="004D0AD5">
        <w:rPr>
          <w:rFonts w:ascii="Times New Roman" w:hAnsi="Times New Roman" w:cs="Times New Roman"/>
          <w:sz w:val="23"/>
          <w:szCs w:val="23"/>
        </w:rPr>
        <w:t>-Строй</w:t>
      </w:r>
      <w:r w:rsidR="00515888" w:rsidRPr="004D0AD5">
        <w:rPr>
          <w:rFonts w:ascii="Times New Roman" w:hAnsi="Times New Roman" w:cs="Times New Roman"/>
          <w:sz w:val="23"/>
          <w:szCs w:val="23"/>
        </w:rPr>
        <w:t>»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308013, г. Белгород, ул. Ватутина, д. 3, литера А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</w:t>
      </w:r>
      <w:r w:rsidR="00982A45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3123125855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312301001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FF0D91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1053107138600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02FEA" w:rsidRPr="004D0AD5" w:rsidRDefault="00102FEA" w:rsidP="00B16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12D43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70AF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112D43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11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12D43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41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02FEA" w:rsidRPr="004D0AD5" w:rsidRDefault="00102FEA" w:rsidP="00B16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D0B8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1 509 987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5FC6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в том числе НДС </w:t>
      </w:r>
      <w:r w:rsidR="00DD0B8E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230 337</w:t>
      </w:r>
      <w:r w:rsidR="00A70AFE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6B5FC6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70AFE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6AA9" w:rsidRPr="004D0AD5" w:rsidRDefault="000D6AA9" w:rsidP="00B16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02FEA" w:rsidRPr="004D0AD5" w:rsidRDefault="00102FEA" w:rsidP="00B16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B5FC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</w:t>
      </w:r>
      <w:r w:rsidR="00DD0B8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йская Федерация</w:t>
      </w:r>
      <w:r w:rsidR="009A59A5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2FEA" w:rsidRPr="004D0AD5" w:rsidRDefault="00102FEA" w:rsidP="00B16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02FEA" w:rsidRPr="004D0AD5" w:rsidRDefault="00102FEA" w:rsidP="00B162FB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A70AFE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A70AFE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4D0AD5">
        <w:rPr>
          <w:rFonts w:ascii="Times New Roman" w:hAnsi="Times New Roman" w:cs="Times New Roman"/>
          <w:sz w:val="23"/>
          <w:szCs w:val="23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A70AFE" w:rsidRPr="004D0AD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04139E" w:rsidRPr="004D0AD5">
        <w:rPr>
          <w:rFonts w:ascii="Times New Roman" w:hAnsi="Times New Roman" w:cs="Times New Roman"/>
          <w:bCs/>
          <w:sz w:val="23"/>
          <w:szCs w:val="23"/>
        </w:rPr>
        <w:t>подогревателя мазута ПМР 64-30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4D0AD5" w:rsidRDefault="00102FEA" w:rsidP="00B162F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D1EE5" w:rsidRPr="004D0AD5" w:rsidRDefault="00CD1EE5" w:rsidP="00B162F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02FEA" w:rsidRPr="004D0AD5" w:rsidRDefault="00102FEA" w:rsidP="00B162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4D0A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="0005164C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02FEA" w:rsidRPr="004D0AD5" w:rsidRDefault="00102FEA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4D0AD5" w:rsidRDefault="00102FEA" w:rsidP="00B162F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4D0AD5" w:rsidRDefault="00102FEA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="00A70AFE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102FEA" w:rsidRPr="004D0AD5" w:rsidRDefault="00102FEA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4D0AD5" w:rsidRDefault="00102FEA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4D0AD5" w:rsidRDefault="00102FEA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D566CB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</w:t>
      </w:r>
      <w:r w:rsidR="00982A45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02FEA" w:rsidRPr="004D0AD5" w:rsidRDefault="00102FEA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4D0AD5" w:rsidRDefault="00102FEA" w:rsidP="00B162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D0AD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D1EE5" w:rsidRPr="004D0AD5" w:rsidRDefault="00CD1EE5" w:rsidP="00B162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D566CB" w:rsidRPr="004D0AD5" w:rsidRDefault="00D566CB" w:rsidP="00B162F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Pr="004D0AD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несостоявшимся на основании п.</w:t>
      </w:r>
      <w:r w:rsidR="00982A45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7.5.3.11 Положения о закупке товаров, работ, услуг АО «МЭС» (ИНН 5190907139, ОГРН</w:t>
      </w:r>
      <w:r w:rsidR="00982A45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1095190009111) и п. 4.12.4. Документации и оценить заявку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D566CB" w:rsidRPr="004D0AD5" w:rsidRDefault="00D566CB" w:rsidP="00B162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6CB" w:rsidRPr="004D0AD5" w:rsidRDefault="00D566CB" w:rsidP="00B162FB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bookmarkStart w:id="17" w:name="_GoBack"/>
      <w:bookmarkEnd w:id="17"/>
    </w:p>
    <w:p w:rsidR="00D566CB" w:rsidRPr="004D0AD5" w:rsidRDefault="00D566CB" w:rsidP="00B16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D566CB" w:rsidRPr="004D0AD5" w:rsidRDefault="00D566CB" w:rsidP="00B1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D0AD5">
        <w:rPr>
          <w:rFonts w:ascii="Times New Roman" w:eastAsia="Calibri" w:hAnsi="Times New Roman" w:cs="Times New Roman"/>
          <w:b/>
          <w:sz w:val="23"/>
          <w:szCs w:val="23"/>
        </w:rPr>
        <w:t>5.</w:t>
      </w:r>
      <w:r w:rsidRPr="004D0AD5">
        <w:rPr>
          <w:rFonts w:ascii="Times New Roman" w:eastAsia="Calibri" w:hAnsi="Times New Roman" w:cs="Times New Roman"/>
          <w:sz w:val="23"/>
          <w:szCs w:val="23"/>
        </w:rPr>
        <w:t xml:space="preserve"> В </w:t>
      </w:r>
      <w:proofErr w:type="gramStart"/>
      <w:r w:rsidRPr="004D0AD5">
        <w:rPr>
          <w:rFonts w:ascii="Times New Roman" w:eastAsia="Calibri" w:hAnsi="Times New Roman" w:cs="Times New Roman"/>
          <w:sz w:val="23"/>
          <w:szCs w:val="23"/>
        </w:rPr>
        <w:t>соответствии</w:t>
      </w:r>
      <w:proofErr w:type="gramEnd"/>
      <w:r w:rsidRPr="004D0AD5">
        <w:rPr>
          <w:rFonts w:ascii="Times New Roman" w:eastAsia="Calibri" w:hAnsi="Times New Roman" w:cs="Times New Roman"/>
          <w:sz w:val="23"/>
          <w:szCs w:val="23"/>
        </w:rPr>
        <w:t xml:space="preserve"> с п. 4.12. Документации Комиссией по закупке была произведена оценка заявки </w:t>
      </w:r>
      <w:bookmarkStart w:id="18" w:name="_Hlk509426279"/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4D0AD5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D566CB" w:rsidRPr="004D0AD5" w:rsidRDefault="00D566CB" w:rsidP="00B1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D0AD5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 Договора», «</w:t>
      </w:r>
      <w:r w:rsidRPr="004D0AD5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4D0AD5">
        <w:rPr>
          <w:rFonts w:ascii="Times New Roman" w:eastAsia="Calibri" w:hAnsi="Times New Roman" w:cs="Times New Roman"/>
          <w:bCs/>
          <w:sz w:val="23"/>
          <w:szCs w:val="23"/>
        </w:rPr>
        <w:t>», «Деловая репутация».</w:t>
      </w:r>
    </w:p>
    <w:p w:rsidR="00D566CB" w:rsidRPr="004D0AD5" w:rsidRDefault="00D566CB" w:rsidP="00B1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D0AD5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 определен итоговый балл – </w:t>
      </w:r>
      <w:r w:rsidR="00D96802" w:rsidRPr="004D0AD5">
        <w:rPr>
          <w:rFonts w:ascii="Times New Roman" w:eastAsia="Calibri" w:hAnsi="Times New Roman" w:cs="Times New Roman"/>
          <w:bCs/>
          <w:sz w:val="23"/>
          <w:szCs w:val="23"/>
        </w:rPr>
        <w:t>4,6</w:t>
      </w:r>
      <w:r w:rsidRPr="004D0AD5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D566CB" w:rsidRPr="004D0AD5" w:rsidRDefault="00D566CB" w:rsidP="00B162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6CB" w:rsidRPr="004D0AD5" w:rsidRDefault="00D566CB" w:rsidP="00B162FB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66CB" w:rsidRPr="004D0AD5" w:rsidRDefault="00D566CB" w:rsidP="00B1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bookmarkEnd w:id="18"/>
    <w:p w:rsidR="00D566CB" w:rsidRPr="004D0AD5" w:rsidRDefault="00D566CB" w:rsidP="00B162FB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proofErr w:type="gramStart"/>
      <w:r w:rsidR="005D2D65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</w:t>
      </w:r>
      <w:r w:rsidR="00AD30D3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АО «</w:t>
      </w:r>
      <w:r w:rsidR="00FF2B66" w:rsidRPr="004D0AD5">
        <w:rPr>
          <w:rFonts w:ascii="Times New Roman" w:hAnsi="Times New Roman" w:cs="Times New Roman"/>
          <w:sz w:val="23"/>
          <w:szCs w:val="23"/>
        </w:rPr>
        <w:t>Холдинговая компания «</w:t>
      </w:r>
      <w:proofErr w:type="spellStart"/>
      <w:r w:rsidR="00FF2B66" w:rsidRPr="004D0AD5">
        <w:rPr>
          <w:rFonts w:ascii="Times New Roman" w:hAnsi="Times New Roman" w:cs="Times New Roman"/>
          <w:sz w:val="23"/>
          <w:szCs w:val="23"/>
        </w:rPr>
        <w:t>Энергомаш</w:t>
      </w:r>
      <w:proofErr w:type="spellEnd"/>
      <w:r w:rsidR="00FF2B66" w:rsidRPr="004D0AD5">
        <w:rPr>
          <w:rFonts w:ascii="Times New Roman" w:hAnsi="Times New Roman" w:cs="Times New Roman"/>
          <w:sz w:val="23"/>
          <w:szCs w:val="23"/>
        </w:rPr>
        <w:t>-Строй»</w:t>
      </w:r>
      <w:r w:rsidR="001B2458" w:rsidRPr="004D0AD5">
        <w:rPr>
          <w:rFonts w:ascii="Times New Roman" w:hAnsi="Times New Roman" w:cs="Times New Roman"/>
          <w:sz w:val="23"/>
          <w:szCs w:val="23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308013, г. Белгород, ул. Ватутина, д. 3, литера А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3123125855, КПП 312301001, ОГРН 1053107138600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предпринимательства,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4D0AD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заявка которого соответствует требованиям Документации)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условиях</w:t>
      </w:r>
      <w:proofErr w:type="gramEnd"/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указанных в заявке Участника запроса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4D0AD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и в Документации:</w:t>
      </w:r>
    </w:p>
    <w:p w:rsidR="00D0026D" w:rsidRPr="004D0AD5" w:rsidRDefault="00D566CB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Предмет договора: </w:t>
      </w:r>
      <w:r w:rsidR="00D0026D" w:rsidRPr="004D0AD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D0026D" w:rsidRPr="004D0AD5">
        <w:rPr>
          <w:rFonts w:ascii="Times New Roman" w:hAnsi="Times New Roman" w:cs="Times New Roman"/>
          <w:bCs/>
          <w:sz w:val="23"/>
          <w:szCs w:val="23"/>
        </w:rPr>
        <w:t>подогревателя мазута ПМР 64-30.</w:t>
      </w:r>
    </w:p>
    <w:p w:rsidR="00D0026D" w:rsidRPr="004D0AD5" w:rsidRDefault="00D0026D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4D0AD5">
        <w:rPr>
          <w:rFonts w:ascii="Times New Roman" w:hAnsi="Times New Roman" w:cs="Times New Roman"/>
          <w:bCs/>
          <w:sz w:val="23"/>
          <w:szCs w:val="23"/>
        </w:rPr>
        <w:t>1 шт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0026D" w:rsidRPr="004D0AD5" w:rsidRDefault="00D0026D" w:rsidP="00B162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 xml:space="preserve">6.3. 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1 509 987 </w:t>
      </w:r>
      <w:r w:rsidR="00FF2B66"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(Один миллион пятьсот девять тысяч девятьсот восемьдесят семь) </w:t>
      </w:r>
      <w:r w:rsidR="00FF2B66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</w:t>
      </w:r>
      <w:r w:rsidR="00FF2B66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включая </w:t>
      </w:r>
      <w:r w:rsidR="00FF2B66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230 337 рублей 00 копеек</w:t>
      </w:r>
      <w:r w:rsidR="00FF2B66" w:rsidRPr="004D0AD5">
        <w:rPr>
          <w:rFonts w:ascii="Times New Roman" w:hAnsi="Times New Roman" w:cs="Times New Roman"/>
          <w:iCs/>
          <w:sz w:val="23"/>
          <w:szCs w:val="23"/>
        </w:rPr>
        <w:t>.</w:t>
      </w:r>
      <w:r w:rsidRPr="004D0AD5">
        <w:rPr>
          <w:rFonts w:ascii="Times New Roman" w:hAnsi="Times New Roman" w:cs="Times New Roman"/>
          <w:iCs/>
          <w:sz w:val="23"/>
          <w:szCs w:val="23"/>
        </w:rPr>
        <w:t xml:space="preserve"> </w:t>
      </w:r>
    </w:p>
    <w:p w:rsidR="00D0026D" w:rsidRPr="004D0AD5" w:rsidRDefault="00D0026D" w:rsidP="00B162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hAnsi="Times New Roman" w:cs="Times New Roman"/>
          <w:i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D0026D" w:rsidRPr="004D0AD5" w:rsidRDefault="00D0026D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4D0AD5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D0026D" w:rsidRPr="004D0AD5" w:rsidRDefault="00D0026D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4D0AD5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4D0AD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D0AD5">
        <w:rPr>
          <w:rFonts w:ascii="Times New Roman" w:hAnsi="Times New Roman"/>
          <w:bCs/>
          <w:sz w:val="23"/>
          <w:szCs w:val="23"/>
        </w:rPr>
        <w:t>Мурманская область, г. Североморск, ул. Сгибнева, котельная района №2</w:t>
      </w:r>
      <w:r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D0026D" w:rsidRPr="004D0AD5" w:rsidRDefault="00D0026D" w:rsidP="00B162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Состав, характеристики и страна происхождения Товара указаны в приложении № 2  Договора.</w:t>
      </w:r>
    </w:p>
    <w:p w:rsidR="00D0026D" w:rsidRPr="004D0AD5" w:rsidRDefault="00D0026D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 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При передаче Товара Поставщик передает Покупателю:</w:t>
      </w:r>
    </w:p>
    <w:p w:rsidR="00D0026D" w:rsidRPr="004D0AD5" w:rsidRDefault="00D0026D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- всю техническую документацию на поставляемый товар;</w:t>
      </w:r>
    </w:p>
    <w:p w:rsidR="00D0026D" w:rsidRPr="004D0AD5" w:rsidRDefault="00D0026D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- документацию, в соответствии с требованиями Технического Регламента Таможенного Союза (</w:t>
      </w:r>
      <w:proofErr w:type="gramStart"/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</w:t>
      </w:r>
      <w:r w:rsidRPr="004D0AD5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D0AD5">
        <w:rPr>
          <w:rFonts w:ascii="Times New Roman" w:eastAsia="Times New Roman" w:hAnsi="Times New Roman"/>
          <w:sz w:val="23"/>
          <w:szCs w:val="23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032/2013);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ФНП «ОРПД».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D0026D" w:rsidRPr="004D0AD5" w:rsidRDefault="00D0026D" w:rsidP="00B162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0026D" w:rsidRPr="004D0AD5" w:rsidRDefault="00D0026D" w:rsidP="00B16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D0026D" w:rsidRPr="004D0AD5" w:rsidRDefault="00D248E0" w:rsidP="00B16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0026D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D0026D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</w:t>
      </w:r>
      <w:r w:rsidR="00D0026D" w:rsidRPr="004D0AD5">
        <w:rPr>
          <w:rFonts w:ascii="Times New Roman" w:eastAsia="Times New Roman" w:hAnsi="Times New Roman"/>
          <w:sz w:val="23"/>
          <w:szCs w:val="23"/>
          <w:lang w:eastAsia="ar-SA"/>
        </w:rPr>
        <w:t xml:space="preserve">(не бывшим в эксплуатации) </w:t>
      </w:r>
      <w:r w:rsidR="00D0026D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изготовленным не ранее 1 (первого) квартала 2018 года. </w:t>
      </w:r>
    </w:p>
    <w:p w:rsidR="00D0026D" w:rsidRPr="004D0AD5" w:rsidRDefault="00D0026D" w:rsidP="00B162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</w:t>
      </w:r>
      <w:r w:rsidRPr="004D0AD5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: </w:t>
      </w:r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на</w:t>
      </w:r>
      <w:proofErr w:type="gramEnd"/>
      <w:r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4D0AD5">
        <w:rPr>
          <w:rFonts w:ascii="Times New Roman" w:hAnsi="Times New Roman" w:cs="Times New Roman"/>
          <w:bCs/>
          <w:sz w:val="23"/>
          <w:szCs w:val="23"/>
        </w:rPr>
        <w:t>.</w:t>
      </w:r>
    </w:p>
    <w:p w:rsidR="00D0026D" w:rsidRPr="004D0AD5" w:rsidRDefault="00D248E0" w:rsidP="00B162F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D0026D" w:rsidRPr="004D0AD5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D0026D"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D0026D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0026D" w:rsidRPr="004D0AD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451828" w:rsidRPr="004D0AD5" w:rsidRDefault="00451828" w:rsidP="00B162F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D0AD5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4D0AD5">
        <w:rPr>
          <w:rFonts w:ascii="Times New Roman" w:hAnsi="Times New Roman" w:cs="Times New Roman"/>
          <w:sz w:val="23"/>
          <w:szCs w:val="23"/>
        </w:rPr>
        <w:t xml:space="preserve"> – Росси</w:t>
      </w:r>
      <w:r w:rsidR="00FF2B66" w:rsidRPr="004D0AD5">
        <w:rPr>
          <w:rFonts w:ascii="Times New Roman" w:hAnsi="Times New Roman" w:cs="Times New Roman"/>
          <w:sz w:val="23"/>
          <w:szCs w:val="23"/>
        </w:rPr>
        <w:t>йская Федерация</w:t>
      </w:r>
      <w:r w:rsidRPr="004D0AD5">
        <w:rPr>
          <w:rFonts w:ascii="Times New Roman" w:hAnsi="Times New Roman" w:cs="Times New Roman"/>
          <w:sz w:val="23"/>
          <w:szCs w:val="23"/>
        </w:rPr>
        <w:t>.</w:t>
      </w:r>
    </w:p>
    <w:p w:rsidR="00451828" w:rsidRPr="004D0AD5" w:rsidRDefault="00451828" w:rsidP="00B162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4D0AD5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D566CB" w:rsidRPr="004D0AD5" w:rsidRDefault="00451828" w:rsidP="00B162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4D0AD5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451828" w:rsidRPr="004D0AD5" w:rsidRDefault="00451828" w:rsidP="00B162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D566CB" w:rsidRPr="004D0AD5" w:rsidRDefault="00D566CB" w:rsidP="00B162FB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</w:t>
      </w:r>
      <w:r w:rsidR="00A421F6" w:rsidRPr="004D0AD5">
        <w:rPr>
          <w:rFonts w:ascii="Times New Roman" w:eastAsia="Times New Roman" w:hAnsi="Times New Roman" w:cs="Times New Roman"/>
          <w:sz w:val="23"/>
          <w:szCs w:val="23"/>
          <w:lang w:eastAsia="ar-SA"/>
        </w:rPr>
        <w:t>16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ar-SA"/>
        </w:rPr>
        <w:t>.0</w:t>
      </w:r>
      <w:r w:rsidR="00A421F6" w:rsidRPr="004D0AD5">
        <w:rPr>
          <w:rFonts w:ascii="Times New Roman" w:eastAsia="Times New Roman" w:hAnsi="Times New Roman" w:cs="Times New Roman"/>
          <w:sz w:val="23"/>
          <w:szCs w:val="23"/>
          <w:lang w:eastAsia="ar-SA"/>
        </w:rPr>
        <w:t>9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4D0AD5">
        <w:rPr>
          <w:rFonts w:ascii="Times New Roman" w:hAnsi="Times New Roman" w:cs="Times New Roman"/>
          <w:sz w:val="23"/>
          <w:szCs w:val="23"/>
          <w:lang w:eastAsia="ru-RU"/>
        </w:rPr>
        <w:t>и п. 4.12.2.</w:t>
      </w:r>
      <w:proofErr w:type="gramEnd"/>
      <w:r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4D0AD5">
        <w:rPr>
          <w:rFonts w:ascii="Times New Roman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D0A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4D0AD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D566CB" w:rsidRPr="004D0AD5" w:rsidRDefault="00D566CB" w:rsidP="00B162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D0AD5">
        <w:rPr>
          <w:rFonts w:ascii="Times New Roman" w:hAnsi="Times New Roman" w:cs="Times New Roman"/>
          <w:b/>
          <w:bCs/>
          <w:sz w:val="23"/>
          <w:szCs w:val="23"/>
        </w:rPr>
        <w:t>РЕЗУЛЬТАТЫ ГОЛОСОВАНИЯ:</w:t>
      </w:r>
    </w:p>
    <w:p w:rsidR="00D566CB" w:rsidRPr="004D0AD5" w:rsidRDefault="00D566CB" w:rsidP="00B162F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D0AD5">
        <w:rPr>
          <w:rFonts w:ascii="Times New Roman" w:hAnsi="Times New Roman" w:cs="Times New Roman"/>
          <w:bCs/>
          <w:sz w:val="23"/>
          <w:szCs w:val="23"/>
        </w:rPr>
        <w:t>Принято единогласно.</w:t>
      </w:r>
    </w:p>
    <w:p w:rsidR="00102FEA" w:rsidRPr="004D0AD5" w:rsidRDefault="00102FEA" w:rsidP="00B162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1A0A32" w:rsidRPr="004D0AD5" w:rsidRDefault="001A0A32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60841" w:rsidRPr="004D0AD5" w:rsidRDefault="00860841" w:rsidP="00B1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4D0AD5" w:rsidTr="005D610B">
        <w:trPr>
          <w:trHeight w:val="568"/>
        </w:trPr>
        <w:tc>
          <w:tcPr>
            <w:tcW w:w="6062" w:type="dxa"/>
          </w:tcPr>
          <w:p w:rsidR="00183F6F" w:rsidRPr="004D0AD5" w:rsidRDefault="00676A51" w:rsidP="00B162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4D0AD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4D0AD5" w:rsidRDefault="00881961" w:rsidP="00B162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</w:t>
            </w:r>
            <w:r w:rsidR="00717DD2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</w:t>
            </w:r>
            <w:r w:rsidR="00717DD2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Обухов</w:t>
            </w:r>
          </w:p>
        </w:tc>
        <w:tc>
          <w:tcPr>
            <w:tcW w:w="4136" w:type="dxa"/>
          </w:tcPr>
          <w:p w:rsidR="00183F6F" w:rsidRPr="004D0AD5" w:rsidRDefault="00183F6F" w:rsidP="00B162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4D0AD5" w:rsidRDefault="00FF6C3F" w:rsidP="00B162F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</w:t>
            </w:r>
            <w:r w:rsidR="003F734A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451828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76A51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3A7BF9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5D610B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F475D5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D610B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31143" w:rsidRPr="004D0AD5" w:rsidTr="005D610B">
        <w:trPr>
          <w:trHeight w:val="568"/>
        </w:trPr>
        <w:tc>
          <w:tcPr>
            <w:tcW w:w="6062" w:type="dxa"/>
          </w:tcPr>
          <w:p w:rsidR="00183F6F" w:rsidRPr="004D0AD5" w:rsidRDefault="00183F6F" w:rsidP="00B162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4D0AD5" w:rsidRDefault="00183F6F" w:rsidP="00B162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4D0AD5" w:rsidRDefault="00183F6F" w:rsidP="00B162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4D0AD5" w:rsidTr="005D610B">
        <w:trPr>
          <w:trHeight w:val="568"/>
        </w:trPr>
        <w:tc>
          <w:tcPr>
            <w:tcW w:w="6062" w:type="dxa"/>
          </w:tcPr>
          <w:p w:rsidR="00B93C15" w:rsidRPr="004D0AD5" w:rsidRDefault="00102FEA" w:rsidP="00B162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 </w:t>
            </w:r>
            <w:proofErr w:type="spellStart"/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B93C15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</w:t>
            </w:r>
            <w:r w:rsidR="00451828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4D0AD5" w:rsidRDefault="00391EE9" w:rsidP="00B162F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</w:t>
            </w:r>
            <w:r w:rsidR="00B93C15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451828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B93C15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5D610B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B93C15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 </w:t>
            </w:r>
          </w:p>
        </w:tc>
      </w:tr>
      <w:tr w:rsidR="00631143" w:rsidRPr="004D0AD5" w:rsidTr="005D610B">
        <w:trPr>
          <w:trHeight w:val="568"/>
        </w:trPr>
        <w:tc>
          <w:tcPr>
            <w:tcW w:w="6062" w:type="dxa"/>
          </w:tcPr>
          <w:p w:rsidR="00B93C15" w:rsidRPr="004D0AD5" w:rsidRDefault="00102FEA" w:rsidP="00B162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lastRenderedPageBreak/>
              <w:t>С</w:t>
            </w:r>
            <w:r w:rsidR="00717DD2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Прокофьев</w:t>
            </w:r>
          </w:p>
        </w:tc>
        <w:tc>
          <w:tcPr>
            <w:tcW w:w="4136" w:type="dxa"/>
          </w:tcPr>
          <w:p w:rsidR="00B93C15" w:rsidRPr="004D0AD5" w:rsidRDefault="001963CF" w:rsidP="00B162F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</w:t>
            </w:r>
            <w:r w:rsidR="00451828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B93C15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</w:t>
            </w:r>
          </w:p>
        </w:tc>
      </w:tr>
      <w:tr w:rsidR="00631143" w:rsidRPr="004D0AD5" w:rsidTr="005D610B">
        <w:trPr>
          <w:trHeight w:val="1136"/>
        </w:trPr>
        <w:tc>
          <w:tcPr>
            <w:tcW w:w="6062" w:type="dxa"/>
          </w:tcPr>
          <w:p w:rsidR="00B93C15" w:rsidRPr="004D0AD5" w:rsidRDefault="00102FEA" w:rsidP="00B162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Л</w:t>
            </w:r>
            <w:r w:rsidR="00717DD2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К</w:t>
            </w:r>
            <w:r w:rsidR="00717DD2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Мельникова</w:t>
            </w:r>
            <w:r w:rsidR="00B93C15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B93C15" w:rsidRPr="004D0AD5" w:rsidRDefault="00B93C15" w:rsidP="00B162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4D0AD5" w:rsidRDefault="00102FEA" w:rsidP="00B162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Р</w:t>
            </w:r>
            <w:r w:rsidR="00717DD2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="00881961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717DD2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proofErr w:type="spellStart"/>
            <w:r w:rsidR="00881961" w:rsidRPr="004D0A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Чистенко</w:t>
            </w:r>
            <w:proofErr w:type="spellEnd"/>
          </w:p>
        </w:tc>
        <w:tc>
          <w:tcPr>
            <w:tcW w:w="4136" w:type="dxa"/>
          </w:tcPr>
          <w:p w:rsidR="00B93C15" w:rsidRPr="004D0AD5" w:rsidRDefault="00391EE9" w:rsidP="00B162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</w:t>
            </w:r>
            <w:r w:rsidR="00451828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  <w:p w:rsidR="00B93C15" w:rsidRPr="004D0AD5" w:rsidRDefault="00B93C15" w:rsidP="00B162F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B93C15" w:rsidRPr="004D0AD5" w:rsidRDefault="00391EE9" w:rsidP="00B162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</w:t>
            </w:r>
            <w:r w:rsidR="00451828" w:rsidRPr="004D0AD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3213CD" w:rsidRPr="004D0AD5" w:rsidRDefault="003213CD" w:rsidP="00B162F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D0A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4D0AD5" w:rsidRDefault="0049344B" w:rsidP="00B162F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D0AD5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8F1671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</w:t>
      </w:r>
      <w:r w:rsidR="005D610B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451828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</w:t>
      </w:r>
      <w:r w:rsidR="00FF6C3F" w:rsidRPr="004D0AD5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4D0AD5">
        <w:rPr>
          <w:rFonts w:ascii="Times New Roman" w:hAnsi="Times New Roman" w:cs="Times New Roman"/>
          <w:sz w:val="23"/>
          <w:szCs w:val="23"/>
          <w:lang w:eastAsia="ru-RU"/>
        </w:rPr>
        <w:t xml:space="preserve">      </w:t>
      </w:r>
      <w:r w:rsidR="00451828" w:rsidRPr="004D0A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</w:t>
      </w:r>
    </w:p>
    <w:p w:rsidR="0004139E" w:rsidRPr="004D0AD5" w:rsidRDefault="0004139E" w:rsidP="00B162F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04139E" w:rsidRPr="004D0AD5" w:rsidSect="0004139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0AD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982A45" w:rsidRPr="00C45A27" w:rsidRDefault="0088196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04139E">
          <w:rPr>
            <w:rFonts w:ascii="Times New Roman" w:hAnsi="Times New Roman" w:cs="Times New Roman"/>
            <w:bCs/>
            <w:sz w:val="16"/>
            <w:szCs w:val="16"/>
          </w:rPr>
          <w:t>подогревателя мазута ПМР 64-30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4139E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  <w:num w:numId="30">
    <w:abstractNumId w:val="1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DEE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39E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7BC"/>
    <w:rsid w:val="00106A29"/>
    <w:rsid w:val="00110885"/>
    <w:rsid w:val="00110E98"/>
    <w:rsid w:val="001119D6"/>
    <w:rsid w:val="00112D43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0CFA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17C4"/>
    <w:rsid w:val="003F2013"/>
    <w:rsid w:val="003F206D"/>
    <w:rsid w:val="003F3CC9"/>
    <w:rsid w:val="003F3E82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4B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AD5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2FB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1EE5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26D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8E0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96802"/>
    <w:rsid w:val="00DA093B"/>
    <w:rsid w:val="00DA24C3"/>
    <w:rsid w:val="00DA4975"/>
    <w:rsid w:val="00DA4A9F"/>
    <w:rsid w:val="00DA5B3D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02B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B8E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0D91"/>
    <w:rsid w:val="00FF1160"/>
    <w:rsid w:val="00FF1CE0"/>
    <w:rsid w:val="00FF2B66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3CD-D02E-4651-A32B-796EA458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36</cp:revision>
  <cp:lastPrinted>2018-09-10T10:39:00Z</cp:lastPrinted>
  <dcterms:created xsi:type="dcterms:W3CDTF">2018-08-23T09:12:00Z</dcterms:created>
  <dcterms:modified xsi:type="dcterms:W3CDTF">2018-09-10T10:46:00Z</dcterms:modified>
</cp:coreProperties>
</file>