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C85C94" w:rsidRPr="00C85C94" w:rsidRDefault="00E439F3" w:rsidP="00C85C9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C85C94" w:rsidRPr="00C85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</w:t>
      </w:r>
    </w:p>
    <w:p w:rsidR="00C85C94" w:rsidRPr="00C85C94" w:rsidRDefault="00C85C94" w:rsidP="00C85C9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заключения договора поставки </w:t>
      </w:r>
      <w:proofErr w:type="gramStart"/>
      <w:r w:rsidRPr="00C85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дизель-генераторов</w:t>
      </w:r>
      <w:proofErr w:type="gramEnd"/>
    </w:p>
    <w:p w:rsidR="00E439F3" w:rsidRPr="00DC5129" w:rsidRDefault="00E439F3" w:rsidP="00C85C9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10DD" w:rsidRDefault="00D610D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85C94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C9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3786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EC18AA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Предмет запроса </w:t>
      </w:r>
      <w:r w:rsidR="005378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котировок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BF1295" w:rsidRPr="00E83E32" w:rsidRDefault="00BF1295" w:rsidP="00C85C94">
      <w:pPr>
        <w:pStyle w:val="a5"/>
        <w:tabs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5C94" w:rsidRPr="00C85C94" w:rsidRDefault="00C85C94" w:rsidP="00C85C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дизель-генераторов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C85C94" w:rsidRPr="00C85C94" w:rsidRDefault="00C85C94" w:rsidP="00C85C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bookmarkStart w:id="8" w:name="ТовараУслуг"/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поставляемого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8"/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 шт.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</w:t>
      </w:r>
      <w:bookmarkStart w:id="9" w:name="ТовараУслуг1"/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ТовараУслуг1"/>
            <w:enabled/>
            <w:calcOnExit w:val="0"/>
            <w:textInput>
              <w:default w:val="ТовараУслуг1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поставляемого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9"/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85C94" w:rsidRPr="00C85C94" w:rsidRDefault="00C85C94" w:rsidP="00C85C9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886"/>
        <w:gridCol w:w="1134"/>
        <w:gridCol w:w="928"/>
        <w:gridCol w:w="1623"/>
        <w:gridCol w:w="1767"/>
      </w:tblGrid>
      <w:tr w:rsidR="00C85C94" w:rsidRPr="00C85C94" w:rsidTr="00D455B0"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886" w:type="dxa"/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Ед. </w:t>
            </w:r>
            <w:proofErr w:type="spell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измер</w:t>
            </w:r>
            <w:proofErr w:type="spell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Цена, руб. коп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., 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т. ч. НДС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Сумма, руб. коп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., 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т. ч. НДС</w:t>
            </w:r>
          </w:p>
        </w:tc>
      </w:tr>
      <w:tr w:rsidR="00C85C94" w:rsidRPr="00C85C94" w:rsidTr="00D455B0">
        <w:tc>
          <w:tcPr>
            <w:tcW w:w="617" w:type="dxa"/>
            <w:tcBorders>
              <w:bottom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86" w:type="dxa"/>
            <w:tcBorders>
              <w:bottom w:val="nil"/>
            </w:tcBorders>
            <w:shd w:val="clear" w:color="auto" w:fill="auto"/>
          </w:tcPr>
          <w:p w:rsidR="00C85C94" w:rsidRPr="00C85C94" w:rsidRDefault="00C85C94" w:rsidP="00C85C94">
            <w:pPr>
              <w:tabs>
                <w:tab w:val="left" w:pos="163"/>
                <w:tab w:val="left" w:pos="234"/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Передвижной дизель-генератор AKSA AD 330 (или эквивалент)   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 степени автоматизации (ручной запуск)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комплектации:     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шумоизолирующий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еврокожух</w:t>
            </w:r>
            <w:proofErr w:type="spellEnd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установленный на автомобильном прицепе  ПСА-7,5ТП 5024Р 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(или эквивалент)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установленным на нем в защитном тенте в устройством с электроприводом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частотным регулятором для намотки/размотки кабеля КГ 5*185 длиной 30 метров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- кабель 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КГ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5*185 длиной 30 м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- наконечник ТМЛ 185-16-23 в количестве  20 шт.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28" w:type="dxa"/>
            <w:tcBorders>
              <w:bottom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shd w:val="clear" w:color="auto" w:fill="FFFFFF"/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3" w:type="dxa"/>
            <w:tcBorders>
              <w:bottom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2 829 940,15</w:t>
            </w:r>
          </w:p>
        </w:tc>
        <w:tc>
          <w:tcPr>
            <w:tcW w:w="1767" w:type="dxa"/>
            <w:tcBorders>
              <w:bottom w:val="nil"/>
            </w:tcBorders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2 829 940,15</w:t>
            </w:r>
          </w:p>
        </w:tc>
      </w:tr>
      <w:tr w:rsidR="00C85C94" w:rsidRPr="00C85C94" w:rsidTr="00D455B0">
        <w:trPr>
          <w:trHeight w:val="3073"/>
        </w:trPr>
        <w:tc>
          <w:tcPr>
            <w:tcW w:w="617" w:type="dxa"/>
            <w:tcBorders>
              <w:bottom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86" w:type="dxa"/>
            <w:tcBorders>
              <w:bottom w:val="nil"/>
            </w:tcBorders>
            <w:shd w:val="clear" w:color="auto" w:fill="auto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Дизель-генератор  AKSA APD 200C </w:t>
            </w: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(или эквивалент),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комплектации: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шумоизолирующий </w:t>
            </w:r>
            <w:proofErr w:type="spellStart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еврокожух</w:t>
            </w:r>
            <w:proofErr w:type="spellEnd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раме, второй степени автоматизации (с автозапуском);            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кабель ВВГ 4х70 длиной 80 м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выключатель автоматический ВА88-35 3Р 250А 35 кА РЭ-2500А в  количестве 1 шт.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наконечник ТМЛ 70-10-13  (КВТ) в количестве 44 шт.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контактор КТ-6033Б-250-220АС-У3-КЭА3 в  количестве 4 шт.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кнопочный пост ПКЕ 222-2УХЛ2 в  количестве 2 шт.</w:t>
            </w:r>
          </w:p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выключатель автоматический ВА 47-29 10А 1Р </w:t>
            </w:r>
            <w:proofErr w:type="spell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хар</w:t>
            </w:r>
            <w:proofErr w:type="spell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-ка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 количестве: 4 шт</w:t>
            </w: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28" w:type="dxa"/>
            <w:tcBorders>
              <w:bottom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shd w:val="clear" w:color="auto" w:fill="FFFFFF"/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3" w:type="dxa"/>
            <w:tcBorders>
              <w:bottom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1 530 230,78</w:t>
            </w:r>
          </w:p>
        </w:tc>
        <w:tc>
          <w:tcPr>
            <w:tcW w:w="1767" w:type="dxa"/>
            <w:tcBorders>
              <w:bottom w:val="nil"/>
            </w:tcBorders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3 060 461,56</w:t>
            </w:r>
          </w:p>
        </w:tc>
      </w:tr>
      <w:tr w:rsidR="00C85C94" w:rsidRPr="00C85C94" w:rsidTr="00D455B0">
        <w:tc>
          <w:tcPr>
            <w:tcW w:w="617" w:type="dxa"/>
            <w:tcBorders>
              <w:top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886" w:type="dxa"/>
            <w:tcBorders>
              <w:top w:val="nil"/>
              <w:bottom w:val="nil"/>
            </w:tcBorders>
            <w:shd w:val="clear" w:color="auto" w:fill="auto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8" w:type="dxa"/>
            <w:tcBorders>
              <w:top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shd w:val="clear" w:color="auto" w:fill="FFFFFF"/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</w:tcBorders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67" w:type="dxa"/>
            <w:tcBorders>
              <w:top w:val="nil"/>
            </w:tcBorders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5C94" w:rsidRPr="00C85C94" w:rsidTr="00D455B0">
        <w:tc>
          <w:tcPr>
            <w:tcW w:w="617" w:type="dxa"/>
            <w:shd w:val="clear" w:color="auto" w:fill="auto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886" w:type="dxa"/>
            <w:shd w:val="clear" w:color="auto" w:fill="auto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28" w:type="dxa"/>
            <w:shd w:val="clear" w:color="auto" w:fill="auto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623" w:type="dxa"/>
            <w:shd w:val="clear" w:color="auto" w:fill="auto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767" w:type="dxa"/>
          </w:tcPr>
          <w:p w:rsidR="00C85C94" w:rsidRPr="00C85C94" w:rsidRDefault="00C85C94" w:rsidP="00C85C9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5 890 401,71</w:t>
            </w:r>
          </w:p>
        </w:tc>
      </w:tr>
    </w:tbl>
    <w:p w:rsidR="00C85C94" w:rsidRPr="00C85C94" w:rsidRDefault="00C85C94" w:rsidP="00C85C9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C94" w:rsidRPr="00C85C94" w:rsidRDefault="00C85C94" w:rsidP="00C85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Начальная (максимальная) цена Договора: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5 890 401 (Пять миллионов восемьсот девяносто тысяч четыреста один) рубль 71 копейка.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Срок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0" w:name="ВыполненияРабот"/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10"/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25 рабочих дней с момента заключения Договора.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11" w:name="ВыполненияРабот1"/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11"/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2" w:name="Место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г. Мурманск, ул. Промышленная, д.15.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2"/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.7.1. Состав и характеристики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дизель-генераторов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указываются в приложении № 2 к проекту Договора.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.7.2.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соответствующей   Продукции.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.7.3. Поставщик обязан соблюдать особые требования к безопасности, качеству, техническим и функциональным характеристикам автомобильного прицепа: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автомобильный прицеп поставляется в соответствии с требованиями технического регламента таможенного союза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018/2011 от 9 декабря 2011 г. № 877 «О безопасности колесных транспортных средств»;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автомобильный прицеп поставляется в технически исправном состоянии,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готовым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 эксплуатации, прицеп не должен иметь повреждений;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покраска автомобильного прицепа должна быть выполнена на заводе изготовителе и не должна иметь повреждений;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автомобильном прицепе не должны быть заменены узлы и агрегаты, а также не произведен их ремонт;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автомобильный прицеп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всё штатное оборудование автомобильного прицепа должно находиться на предусмотренных заводом-изготовителем местах, и быть в рабочем состоянии.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.7.4. При передаче Товара Поставщик передает Покупателю: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инструкцию (руководство) по эксплуатации, сервисную книжку, паспорт транспортного средства на автомобильный прицеп;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руководство по эксплуатации, паспорт и сертификат соответствия ГОСТ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55006-2012 на дизель-генераторы;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акт заводского испытания на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дизель-генераторы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паспорт  на двигатели и силовые генераторы;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руководство по эксплуатации и паспорт на пульт управления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дизель-генераторами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сертификаты соответствия: ГОСТ, требованиям ПБ,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004/2011 «О безопасности низковольтного оборудования» на комплектующее оборудование;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паспорта с отметками о гарантийных обязательствах, руководства по эксплуатации и установке на комплектующее оборудование.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условия:</w:t>
      </w:r>
      <w:r w:rsidRPr="00C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C85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сентября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3" w:name="ТоварИзготовлен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3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Гарантийный срок на Товар устанавливается: 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дизель-генераторы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12 месяцев со дня ввода в эксплуатацию или 500 часов наработки (в зависимости от того, какое событие наступит раньше).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автомобильный прицеп устанавливается в соответствии с условиями Производителя, но не менее 12 месяцев с момента продажи.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кабели и контакторы устанавливается: 24 месяца с момента продажи.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автоматические выключатели устанавливается: 60 месяцев с момента продажи.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кабельные наконечники устанавливается: 72 месяца с момента продажи.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кнопочные посты устанавливается: 12 месяцев с момента продажи.</w:t>
      </w:r>
    </w:p>
    <w:p w:rsidR="00C85C94" w:rsidRPr="00C85C94" w:rsidRDefault="00C85C94" w:rsidP="00C85C94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.10. Условия оплаты: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14" w:name="УсловияОплаты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C85C94" w:rsidRPr="00C85C94" w:rsidRDefault="00C85C94" w:rsidP="00C85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оплату). </w:t>
      </w:r>
    </w:p>
    <w:p w:rsidR="00BF1295" w:rsidRPr="00BF1295" w:rsidRDefault="00C85C94" w:rsidP="00C85C94">
      <w:pPr>
        <w:pStyle w:val="a5"/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4"/>
    </w:p>
    <w:p w:rsidR="00C85C94" w:rsidRPr="00C85C94" w:rsidRDefault="00C85C94" w:rsidP="00C85C9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1.11.</w:t>
      </w:r>
      <w:r w:rsidRPr="00C85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439F3" w:rsidRPr="00313F1B" w:rsidRDefault="00313F1B" w:rsidP="00313F1B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</w:t>
      </w:r>
      <w:r w:rsidR="00E439F3" w:rsidRPr="00313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аседании приняли участие</w:t>
      </w:r>
      <w:r w:rsidR="00EE36E9" w:rsidRPr="00313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Default="001C2EA6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A854F7" w:rsidRPr="00A854F7" w:rsidRDefault="00205799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несостоявшейся) А.В. Пушкарев – заместитель генерального директора по обеспечению производства АО «МЭС»;</w:t>
      </w:r>
    </w:p>
    <w:p w:rsidR="00A854F7" w:rsidRPr="00A854F7" w:rsidRDefault="00A854F7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</w:t>
      </w:r>
      <w:proofErr w:type="gramStart"/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О«</w:t>
      </w:r>
      <w:proofErr w:type="gramEnd"/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МЭС»;</w:t>
      </w:r>
    </w:p>
    <w:p w:rsidR="00A854F7" w:rsidRPr="00A854F7" w:rsidRDefault="00A854F7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«МЭС»;</w:t>
      </w:r>
    </w:p>
    <w:p w:rsidR="00A854F7" w:rsidRDefault="00A854F7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4F7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«МЭС»;</w:t>
      </w:r>
    </w:p>
    <w:p w:rsidR="00313F1B" w:rsidRPr="00313F1B" w:rsidRDefault="00313F1B" w:rsidP="00313F1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313F1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proofErr w:type="spellEnd"/>
      <w:r w:rsidRPr="0031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транспортной службы АО «МЭС»;</w:t>
      </w:r>
    </w:p>
    <w:p w:rsidR="00313F1B" w:rsidRPr="00313F1B" w:rsidRDefault="00313F1B" w:rsidP="00313F1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Павлов – техник электротехнического отдела АО «МЭС»;</w:t>
      </w:r>
    </w:p>
    <w:p w:rsidR="00313F1B" w:rsidRPr="00313F1B" w:rsidRDefault="00C17525" w:rsidP="00313F1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</w:t>
      </w:r>
      <w:r w:rsidR="00313F1B" w:rsidRPr="0031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специалист отдела материально-технического обеспечения управления материально-технического обеспечения АО «МЭС».</w:t>
      </w:r>
    </w:p>
    <w:p w:rsidR="00313F1B" w:rsidRPr="00A854F7" w:rsidRDefault="00313F1B" w:rsidP="00EE36E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E36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313F1B" w:rsidP="00EE36E9">
      <w:pPr>
        <w:tabs>
          <w:tab w:val="left" w:pos="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Баннова Т.В.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EE36E9">
      <w:pPr>
        <w:tabs>
          <w:tab w:val="left" w:pos="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1C2EA6" w:rsidP="00EE36E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A4582" w:rsidRPr="00EA4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</w:t>
      </w:r>
      <w:r w:rsidR="00DC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A4582" w:rsidRPr="00EA4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оценки, сопоставления </w:t>
      </w:r>
      <w:r w:rsidR="00DC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заявок </w:t>
      </w:r>
      <w:r w:rsidR="00EA4582" w:rsidRPr="00EA4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подведения итогов проводилась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13F1B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313F1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C82B0C" w:rsidRP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D36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2B0C" w:rsidRP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C82B0C" w:rsidRP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C82B0C" w:rsidRP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. 17.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C82B0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="00E439F3" w:rsidRPr="00DC5129">
        <w:rPr>
          <w:rFonts w:ascii="Times New Roman" w:hAnsi="Times New Roman" w:cs="Times New Roman"/>
          <w:sz w:val="24"/>
          <w:szCs w:val="24"/>
        </w:rPr>
        <w:t xml:space="preserve"> </w:t>
      </w:r>
      <w:r w:rsidR="00EA45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439F3" w:rsidRPr="00313F1B" w:rsidRDefault="00E439F3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 момент начала процедуры заявлений об отзыве и изменении заявок </w:t>
      </w:r>
      <w:r w:rsidR="00006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участи</w:t>
      </w:r>
      <w:r w:rsidR="00006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запросе </w:t>
      </w:r>
      <w:r w:rsidR="00C82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3F1B"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proofErr w:type="gramStart"/>
      <w:r w:rsidR="00313F1B"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дизель-генераторов</w:t>
      </w:r>
      <w:proofErr w:type="gramEnd"/>
      <w:r w:rsidR="0031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E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EE36E9" w:rsidRPr="00EE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далее по тексту – запрос котировок</w:t>
      </w:r>
      <w:r w:rsidR="00EE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8E5BFF" w:rsidRDefault="008E5BFF" w:rsidP="00EE36E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DC5129" w:rsidRDefault="001C2EA6" w:rsidP="00EE36E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13F1B"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процедуре были рассмотрены 3 (Три) заявки от следующих Участников закупки: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1</w:t>
      </w:r>
      <w:r w:rsidRPr="0031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ниченной ответственностью «Инженерно-технологический сервис ИТС» (ООО «ИТС»), 125009, г. Москва, переулок Романов, д. 3, корпус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офис 67 (ИНН 7704233685, КПП 770401001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РН 1027700448445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</w:t>
      </w:r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 и время регистрации заявки 30.01.2017 12:25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8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5 654 785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Pr="0031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2</w:t>
      </w:r>
      <w:r w:rsidRPr="0031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Закрыто</w:t>
      </w:r>
      <w:r w:rsidR="00B13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акционерно</w:t>
      </w:r>
      <w:r w:rsidR="00B137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«</w:t>
      </w:r>
      <w:proofErr w:type="spellStart"/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Брис-Энерго</w:t>
      </w:r>
      <w:proofErr w:type="spellEnd"/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377B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(ЗАО «</w:t>
      </w:r>
      <w:proofErr w:type="spellStart"/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Брис-Энерго</w:t>
      </w:r>
      <w:proofErr w:type="spellEnd"/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3A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620141, г</w:t>
      </w:r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Екатеринбург, ул. С</w:t>
      </w:r>
      <w:r w:rsidR="007B3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офьи П</w:t>
      </w:r>
      <w:r w:rsidR="0058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еровской</w:t>
      </w:r>
      <w:r w:rsidR="007B3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д.108, офис</w:t>
      </w:r>
      <w:proofErr w:type="gramStart"/>
      <w:r w:rsidR="007B3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proofErr w:type="gramEnd"/>
      <w:r w:rsidR="007B3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6659180099, КПП 667801001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</w:t>
      </w:r>
      <w:r w:rsidR="007B3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1069659065222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</w:t>
      </w:r>
      <w:r w:rsidR="007B3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02.02.2017 10:17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B3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5 499 999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7B3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31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0 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копеек, в том числе НДС.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3</w:t>
      </w:r>
      <w:r w:rsidRPr="0031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65F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Промформат</w:t>
      </w:r>
      <w:proofErr w:type="spellEnd"/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E65F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Промформат</w:t>
      </w:r>
      <w:proofErr w:type="spellEnd"/>
      <w:r w:rsidR="00E65F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127051, г. Москва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</w:t>
      </w:r>
      <w:r w:rsidR="009A46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л. </w:t>
      </w:r>
      <w:r w:rsidR="00E65F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Петровский б-р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3, </w:t>
      </w:r>
      <w:r w:rsidR="00E65F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2 (ИНН 7720706508, КПП 770701001, ОГРН 1117746012581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</w:t>
      </w:r>
      <w:r w:rsidR="00E65F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 и время регистрации заявки 03.02.2016 11:42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65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5 850 000 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Pr="0031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00 </w:t>
      </w: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копеек, в том числе НДС.</w:t>
      </w:r>
    </w:p>
    <w:p w:rsidR="00313F1B" w:rsidRPr="00313F1B" w:rsidRDefault="00313F1B" w:rsidP="00313F1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DC5129" w:rsidRPr="00DC5129" w:rsidRDefault="00DC5129" w:rsidP="00EE36E9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357E" w:rsidRPr="00B9357E" w:rsidRDefault="00E439F3" w:rsidP="00B9357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357E"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="00B9357E" w:rsidRPr="00B935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357E"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котировок на право заключения договора поставки </w:t>
      </w:r>
      <w:proofErr w:type="gramStart"/>
      <w:r w:rsidR="00B9357E"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дизель-генераторов</w:t>
      </w:r>
      <w:proofErr w:type="gramEnd"/>
      <w:r w:rsidR="00B9357E"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9357E" w:rsidRPr="00B9357E" w:rsidRDefault="00B9357E" w:rsidP="00B9357E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B9357E" w:rsidRPr="00B9357E" w:rsidRDefault="00B9357E" w:rsidP="00B9357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ru-RU"/>
        </w:rPr>
      </w:pPr>
    </w:p>
    <w:p w:rsidR="00B9357E" w:rsidRPr="00B9357E" w:rsidRDefault="00B9357E" w:rsidP="00B9357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4.1.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«ИТС»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9357E" w:rsidRPr="00B9357E" w:rsidRDefault="00B9357E" w:rsidP="00B935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357E" w:rsidRPr="00B9357E" w:rsidRDefault="00B9357E" w:rsidP="00B9357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B9357E" w:rsidRPr="00B9357E" w:rsidRDefault="00B9357E" w:rsidP="00B9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«ИТС»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9357E" w:rsidRPr="00B9357E" w:rsidRDefault="00B9357E" w:rsidP="00B93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357E" w:rsidRPr="00B9357E" w:rsidRDefault="00B9357E" w:rsidP="00B935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357E" w:rsidRPr="00B9357E" w:rsidRDefault="00B9357E" w:rsidP="00B9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«ИТС»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B9357E" w:rsidRPr="00B9357E" w:rsidRDefault="00B9357E" w:rsidP="00B93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357E" w:rsidRPr="00B9357E" w:rsidRDefault="00B9357E" w:rsidP="00B9357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357E" w:rsidRPr="00B9357E" w:rsidRDefault="00B9357E" w:rsidP="00B9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1231" w:rsidRDefault="00B9357E" w:rsidP="00B935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24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4.2.</w:t>
      </w:r>
      <w:r w:rsidR="00377BBF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F1231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BF1231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="00BF1231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п. 4.10.2 Документации признать оформление заявки на участие в запросе котировок ЗАО «</w:t>
      </w:r>
      <w:proofErr w:type="spellStart"/>
      <w:r w:rsidR="00BF1231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Брис-Энерго</w:t>
      </w:r>
      <w:proofErr w:type="spellEnd"/>
      <w:r w:rsidR="00BF1231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не соответствующим требованиям Документации</w:t>
      </w:r>
      <w:r w:rsidR="00BF1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именно:</w:t>
      </w:r>
    </w:p>
    <w:p w:rsidR="00F670D3" w:rsidRPr="00F670D3" w:rsidRDefault="00BF1231" w:rsidP="00F670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сравнении информации, указанной в </w:t>
      </w:r>
      <w:r w:rsidRPr="00BF1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 предложении (приложение № 2 к письму о подаче оферты от 31.01.2017г. №31/01/1)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информацией, размещенной на </w:t>
      </w:r>
      <w:r w:rsidRPr="00BF1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Pr="00BF1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сайт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ах </w:t>
      </w:r>
      <w:r w:rsidRPr="00F67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производителей требуемого</w:t>
      </w:r>
      <w:r w:rsidRPr="00F6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</w:t>
      </w:r>
      <w:r w:rsidRPr="00BF123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</w:t>
      </w:r>
      <w:proofErr w:type="gramEnd"/>
      <w:r w:rsidRPr="00BF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выявлены следующие расхождения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70D3" w:rsidRPr="00F670D3" w:rsidRDefault="00F670D3" w:rsidP="00F670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- в позиции 1 технического предложения Участник закупки предлагает к поставке «Передвижной дизель-генератор ЭД240-Т400-1РПШМ13». Габариты элек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тростанции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еврокожухе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4000*1400*1900мм</w:t>
      </w:r>
      <w:r w:rsidRPr="00F670D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что 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не соответствует данным, указанным на официальном сайте дилера «</w:t>
      </w:r>
      <w:proofErr w:type="spellStart"/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Avadiz</w:t>
      </w:r>
      <w:proofErr w:type="spellEnd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», занимающегося реализацией данного товара и являющегося  дилером ЗАО «</w:t>
      </w:r>
      <w:proofErr w:type="spellStart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Брис-Энерго</w:t>
      </w:r>
      <w:proofErr w:type="spellEnd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» (согласно приложенному Сертификату Дилера № 26/12-16 в составе заявки ЗАО «</w:t>
      </w:r>
      <w:proofErr w:type="spellStart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Брис-Энерго</w:t>
      </w:r>
      <w:proofErr w:type="spellEnd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») </w:t>
      </w:r>
      <w:r w:rsidRPr="00F670D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hyperlink r:id="rId8" w:history="1">
        <w:r w:rsidRPr="00F670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https://avadiz.ru/production/dizelnye_elektrostantsii_ot_100_kvt/dizelnaya-elektrostantsiya-ad-240-t400/</w:t>
        </w:r>
      </w:hyperlink>
      <w:r w:rsidRPr="00F670D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F670D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3960*1356*2097мм</w:t>
      </w:r>
      <w:r w:rsidRPr="00F670D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;</w:t>
      </w:r>
      <w:r w:rsidRPr="00F670D3">
        <w:rPr>
          <w:rFonts w:ascii="Times New Roman" w:eastAsia="Calibri" w:hAnsi="Times New Roman" w:cs="Times New Roman"/>
          <w:sz w:val="32"/>
          <w:szCs w:val="32"/>
          <w:shd w:val="clear" w:color="auto" w:fill="FFFFFF"/>
          <w:lang w:eastAsia="ru-RU"/>
        </w:rPr>
        <w:t xml:space="preserve"> </w:t>
      </w:r>
    </w:p>
    <w:p w:rsidR="00F670D3" w:rsidRPr="00F670D3" w:rsidRDefault="00F670D3" w:rsidP="00F670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- в позиции 2 технического предложения Участник закупки предлагает к поставке «Дизель-генератор АД150-Т400-2РПШМ11». Объем</w:t>
      </w:r>
      <w:r w:rsidRPr="00F670D3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установленного на </w:t>
      </w:r>
      <w:proofErr w:type="gramStart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дизель-генераторе</w:t>
      </w:r>
      <w:proofErr w:type="gramEnd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дизельного двигателя 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SHANGHAI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DIESEL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SC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250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 – 8,3л, </w:t>
      </w:r>
      <w:r w:rsidRPr="00F670D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что 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не соответствует данным, указанным на официальном сайте дилера</w:t>
      </w:r>
      <w:r w:rsidRPr="00F670D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«Группы Компаний «Автономные Системы»» (</w:t>
      </w:r>
      <w:hyperlink r:id="rId9" w:history="1">
        <w:r w:rsidRPr="00F670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http://avtosys.com/dvigateli/shanghai-diesel/sd-sc7h250d2.html</w:t>
        </w:r>
      </w:hyperlink>
      <w:r w:rsidRPr="00F670D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и официальном сайте «Новосибирский завод генераторных установок» (</w:t>
      </w:r>
      <w:hyperlink r:id="rId10" w:history="1">
        <w:r w:rsidRPr="00F670D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http://www.nzgu.ru/zapasnie-chasti-i-komplektuyushie-k-generatoram-i-elektrostanciyam/engines/sc7h250d2/</w:t>
        </w:r>
      </w:hyperlink>
      <w:r w:rsidRPr="00F670D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– 6,5 л.</w:t>
      </w:r>
    </w:p>
    <w:p w:rsidR="00F670D3" w:rsidRPr="00F670D3" w:rsidRDefault="00F670D3" w:rsidP="00F670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изложенного, действительные технические характеристики предлагаемого к поставке оборудования: передвижного </w:t>
      </w:r>
      <w:proofErr w:type="gramStart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дизель-генератора</w:t>
      </w:r>
      <w:proofErr w:type="gramEnd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ЭД240-Т400-1РПШМ13 первой степени автоматизации (ручной запуск) и дизельного двигателя 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SHANGHAI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DIESEL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SC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250</w:t>
      </w:r>
      <w:r w:rsidRPr="00F670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</w:t>
      </w:r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2 дизель-генератора АД150-Т400-2РПШМ11 не соответствуют характеристикам, указанным в техническом предложении ЗАО «</w:t>
      </w:r>
      <w:proofErr w:type="spellStart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Брис-Энерго</w:t>
      </w:r>
      <w:proofErr w:type="spellEnd"/>
      <w:r w:rsidRPr="00F670D3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BF1231" w:rsidRPr="0062394E" w:rsidRDefault="00BF1231" w:rsidP="00F670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357E" w:rsidRPr="0062394E" w:rsidRDefault="00B9357E" w:rsidP="00B935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94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9357E" w:rsidRDefault="00B9357E" w:rsidP="00B935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94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62394E" w:rsidRPr="0062394E" w:rsidRDefault="0062394E" w:rsidP="00B935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357E" w:rsidRPr="0062394E" w:rsidRDefault="00B9357E" w:rsidP="00B935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94E">
        <w:rPr>
          <w:rFonts w:ascii="Times New Roman" w:eastAsia="Calibri" w:hAnsi="Times New Roman" w:cs="Times New Roman"/>
          <w:sz w:val="24"/>
          <w:szCs w:val="24"/>
        </w:rPr>
        <w:tab/>
        <w:t xml:space="preserve">Не допустить </w:t>
      </w:r>
      <w:r w:rsidR="0062394E" w:rsidRPr="00623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 «</w:t>
      </w:r>
      <w:proofErr w:type="spellStart"/>
      <w:r w:rsidR="0062394E" w:rsidRPr="00623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Брис-Энерго</w:t>
      </w:r>
      <w:proofErr w:type="spellEnd"/>
      <w:r w:rsidR="0062394E" w:rsidRPr="00623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62394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23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62394E">
        <w:rPr>
          <w:rFonts w:ascii="Times New Roman" w:eastAsia="Calibri" w:hAnsi="Times New Roman" w:cs="Times New Roman"/>
          <w:sz w:val="24"/>
          <w:szCs w:val="24"/>
        </w:rPr>
        <w:t>и не включать в перечень Участников запроса котировок</w:t>
      </w:r>
      <w:r w:rsidRPr="00623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9357E" w:rsidRPr="0062394E" w:rsidRDefault="00B9357E" w:rsidP="00B93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3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357E" w:rsidRDefault="00B9357E" w:rsidP="00B935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724FA" w:rsidRDefault="00A724FA" w:rsidP="00B935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357E" w:rsidRPr="00B9357E" w:rsidRDefault="00B9357E" w:rsidP="00B9357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«</w:t>
      </w:r>
      <w:proofErr w:type="spellStart"/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Промформат</w:t>
      </w:r>
      <w:proofErr w:type="spellEnd"/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9357E" w:rsidRPr="00B9357E" w:rsidRDefault="00B9357E" w:rsidP="00B935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357E" w:rsidRPr="00B9357E" w:rsidRDefault="00B9357E" w:rsidP="00B9357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B9357E" w:rsidRPr="00B9357E" w:rsidRDefault="00B9357E" w:rsidP="00B9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Промформат</w:t>
      </w:r>
      <w:proofErr w:type="spellEnd"/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9357E" w:rsidRPr="00B9357E" w:rsidRDefault="00B9357E" w:rsidP="00B93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357E" w:rsidRPr="00B9357E" w:rsidRDefault="00B9357E" w:rsidP="00B935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357E" w:rsidRDefault="00B9357E" w:rsidP="00B9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Промформат</w:t>
      </w:r>
      <w:proofErr w:type="spellEnd"/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B9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B9357E" w:rsidRPr="00B9357E" w:rsidRDefault="00B9357E" w:rsidP="00B9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357E" w:rsidRPr="00B9357E" w:rsidRDefault="00B9357E" w:rsidP="00B93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357E" w:rsidRPr="00B9357E" w:rsidRDefault="00B9357E" w:rsidP="00B9357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952C1" w:rsidRDefault="009952C1" w:rsidP="009952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52C1" w:rsidRPr="009952C1" w:rsidRDefault="009952C1" w:rsidP="009952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</w:pPr>
      <w:r w:rsidRPr="00995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995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952C1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952C1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 w:rsidRPr="009952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52C1" w:rsidRPr="009952C1" w:rsidRDefault="009952C1" w:rsidP="009952C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952C1" w:rsidRPr="009952C1" w:rsidRDefault="009952C1" w:rsidP="009952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2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952C1" w:rsidRPr="009952C1" w:rsidRDefault="009952C1" w:rsidP="009952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2C1" w:rsidRPr="00A724FA" w:rsidRDefault="009952C1" w:rsidP="0099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4.12.1. Документации Комиссией по закупке была произведена оценка заявок</w:t>
      </w:r>
      <w:r w:rsidRPr="00A724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ООО «ИТС»</w:t>
      </w: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Промформат</w:t>
      </w:r>
      <w:proofErr w:type="spellEnd"/>
      <w:r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52C1" w:rsidRPr="00A724FA" w:rsidRDefault="009952C1" w:rsidP="0099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9952C1" w:rsidRPr="00A724FA" w:rsidRDefault="009952C1" w:rsidP="0099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2C1" w:rsidRPr="00A724FA" w:rsidRDefault="009952C1" w:rsidP="0099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9952C1" w:rsidRPr="00A724FA" w:rsidRDefault="009952C1" w:rsidP="00A724F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2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724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ООО «ИТС»</w:t>
      </w: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</w:t>
      </w:r>
      <w:r w:rsidR="009A46DC" w:rsidRPr="00A72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46DC" w:rsidRPr="00A724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5 654 785</w:t>
      </w:r>
      <w:r w:rsidR="009A46DC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9A46DC" w:rsidRPr="00A724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 w:rsidR="009A46DC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A46DC" w:rsidRPr="00A724FA" w:rsidRDefault="009952C1" w:rsidP="00A724F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72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A46DC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9A46DC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Промформат</w:t>
      </w:r>
      <w:proofErr w:type="spellEnd"/>
      <w:r w:rsidR="009A46DC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9A46DC"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24FA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(Цена договора –</w:t>
      </w:r>
      <w:r w:rsidR="009A46DC" w:rsidRPr="00A724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5 850 000 </w:t>
      </w:r>
      <w:r w:rsidR="009A46DC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9A46DC" w:rsidRPr="00A724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00 </w:t>
      </w:r>
      <w:r w:rsidR="009A46DC"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копеек, в том числе НДС.</w:t>
      </w:r>
      <w:proofErr w:type="gramEnd"/>
    </w:p>
    <w:p w:rsidR="009952C1" w:rsidRPr="00A724FA" w:rsidRDefault="009952C1" w:rsidP="0099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2C1" w:rsidRPr="00A724FA" w:rsidRDefault="009952C1" w:rsidP="00995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4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952C1" w:rsidRPr="009952C1" w:rsidRDefault="009952C1" w:rsidP="009952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2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952C1" w:rsidRPr="009952C1" w:rsidRDefault="009952C1" w:rsidP="009952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52C1" w:rsidRPr="00CC0A19" w:rsidRDefault="009952C1" w:rsidP="009952C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0A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CC0A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C0A19">
        <w:rPr>
          <w:rFonts w:ascii="Times New Roman" w:eastAsia="Calibri" w:hAnsi="Times New Roman" w:cs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CC0A19">
        <w:rPr>
          <w:rFonts w:ascii="Times New Roman" w:eastAsia="Calibri" w:hAnsi="Times New Roman" w:cs="Times New Roman"/>
          <w:b/>
          <w:sz w:val="24"/>
          <w:szCs w:val="24"/>
        </w:rPr>
        <w:t>второе место</w:t>
      </w:r>
      <w:r w:rsidRPr="00CC0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0A19" w:rsidRPr="00CC0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CC0A19" w:rsidRPr="00CC0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Промформат</w:t>
      </w:r>
      <w:proofErr w:type="spellEnd"/>
      <w:r w:rsidR="00CC0A19" w:rsidRPr="00CC0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CC0A19" w:rsidRPr="00CC0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A19">
        <w:rPr>
          <w:rFonts w:ascii="Times New Roman" w:eastAsia="Calibri" w:hAnsi="Times New Roman" w:cs="Times New Roman"/>
          <w:color w:val="FF0000"/>
          <w:sz w:val="24"/>
          <w:szCs w:val="24"/>
        </w:rPr>
        <w:t>(</w:t>
      </w:r>
      <w:r w:rsidR="00CC0A19" w:rsidRPr="00CC0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127051, г. Москва, ул. Петровский б-р, д. 3, строение 2 (ИНН 7720706508, КПП 770701001, ОГРН 1117746012581)</w:t>
      </w:r>
      <w:r w:rsidRPr="00CC0A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C0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Pr="00CC0A19">
        <w:rPr>
          <w:rFonts w:ascii="Times New Roman" w:eastAsia="Calibri" w:hAnsi="Times New Roman" w:cs="Times New Roman"/>
          <w:bCs/>
          <w:sz w:val="24"/>
          <w:szCs w:val="24"/>
        </w:rPr>
        <w:t>):</w:t>
      </w:r>
      <w:r w:rsidRPr="00CC0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C0A19" w:rsidRPr="00C85C94" w:rsidRDefault="00CC0A19" w:rsidP="00CC0A1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proofErr w:type="gramStart"/>
      <w:r w:rsid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дизель-генераторов</w:t>
      </w:r>
      <w:proofErr w:type="gramEnd"/>
      <w:r w:rsid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0A19" w:rsidRPr="00C85C94" w:rsidRDefault="00CC0A19" w:rsidP="00CC0A1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поставляемого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 шт.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ТовараУслуг1"/>
            <w:enabled/>
            <w:calcOnExit w:val="0"/>
            <w:textInput>
              <w:default w:val="ТовараУслуг1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поставляемого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C0A19" w:rsidRPr="00C85C94" w:rsidRDefault="00CC0A19" w:rsidP="00CC0A1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886"/>
        <w:gridCol w:w="1134"/>
        <w:gridCol w:w="928"/>
        <w:gridCol w:w="1623"/>
        <w:gridCol w:w="1767"/>
      </w:tblGrid>
      <w:tr w:rsidR="00CC0A19" w:rsidRPr="00C85C94" w:rsidTr="00D455B0"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886" w:type="dxa"/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Ед. </w:t>
            </w:r>
            <w:proofErr w:type="spell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измер</w:t>
            </w:r>
            <w:proofErr w:type="spell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Цена, руб. коп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., 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т. ч. НДС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Сумма, руб. коп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., 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т. ч. НДС</w:t>
            </w:r>
          </w:p>
        </w:tc>
      </w:tr>
      <w:tr w:rsidR="00CC0A19" w:rsidRPr="00C85C94" w:rsidTr="00D455B0">
        <w:tc>
          <w:tcPr>
            <w:tcW w:w="617" w:type="dxa"/>
            <w:tcBorders>
              <w:bottom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86" w:type="dxa"/>
            <w:tcBorders>
              <w:bottom w:val="nil"/>
            </w:tcBorders>
            <w:shd w:val="clear" w:color="auto" w:fill="auto"/>
          </w:tcPr>
          <w:p w:rsidR="00A47D6C" w:rsidRPr="00C85C94" w:rsidRDefault="00CC0A19" w:rsidP="00A47D6C">
            <w:pPr>
              <w:tabs>
                <w:tab w:val="left" w:pos="163"/>
                <w:tab w:val="left" w:pos="234"/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Передвижно</w:t>
            </w:r>
            <w:r w:rsidR="00A47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дизель-генератор AKSA AD 330 </w:t>
            </w:r>
          </w:p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28" w:type="dxa"/>
            <w:tcBorders>
              <w:bottom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shd w:val="clear" w:color="auto" w:fill="FFFFFF"/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3" w:type="dxa"/>
            <w:tcBorders>
              <w:bottom w:val="nil"/>
            </w:tcBorders>
            <w:shd w:val="clear" w:color="auto" w:fill="auto"/>
            <w:vAlign w:val="center"/>
          </w:tcPr>
          <w:p w:rsidR="00CC0A19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2 500 000,00</w:t>
            </w:r>
          </w:p>
        </w:tc>
        <w:tc>
          <w:tcPr>
            <w:tcW w:w="1767" w:type="dxa"/>
            <w:tcBorders>
              <w:bottom w:val="nil"/>
            </w:tcBorders>
            <w:vAlign w:val="center"/>
          </w:tcPr>
          <w:p w:rsidR="00CC0A19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2 500 000,00</w:t>
            </w:r>
          </w:p>
        </w:tc>
      </w:tr>
      <w:tr w:rsidR="00CC0A19" w:rsidRPr="00C85C94" w:rsidTr="00D455B0">
        <w:trPr>
          <w:trHeight w:val="3073"/>
        </w:trPr>
        <w:tc>
          <w:tcPr>
            <w:tcW w:w="617" w:type="dxa"/>
            <w:tcBorders>
              <w:bottom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86" w:type="dxa"/>
            <w:tcBorders>
              <w:bottom w:val="nil"/>
            </w:tcBorders>
            <w:shd w:val="clear" w:color="auto" w:fill="auto"/>
          </w:tcPr>
          <w:p w:rsidR="00A47D6C" w:rsidRPr="00C85C94" w:rsidRDefault="00CC0A19" w:rsidP="00A47D6C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Дизель-генератор  AKSA APD 200C </w:t>
            </w: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28" w:type="dxa"/>
            <w:tcBorders>
              <w:bottom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shd w:val="clear" w:color="auto" w:fill="FFFFFF"/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3" w:type="dxa"/>
            <w:tcBorders>
              <w:bottom w:val="nil"/>
            </w:tcBorders>
            <w:shd w:val="clear" w:color="auto" w:fill="auto"/>
            <w:vAlign w:val="center"/>
          </w:tcPr>
          <w:p w:rsidR="00CC0A19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1 675 000,00</w:t>
            </w:r>
          </w:p>
        </w:tc>
        <w:tc>
          <w:tcPr>
            <w:tcW w:w="1767" w:type="dxa"/>
            <w:tcBorders>
              <w:bottom w:val="nil"/>
            </w:tcBorders>
            <w:vAlign w:val="center"/>
          </w:tcPr>
          <w:p w:rsidR="00CC0A19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A4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350 000,00</w:t>
            </w:r>
          </w:p>
        </w:tc>
      </w:tr>
      <w:tr w:rsidR="00CC0A19" w:rsidRPr="00C85C94" w:rsidTr="00D455B0">
        <w:tc>
          <w:tcPr>
            <w:tcW w:w="617" w:type="dxa"/>
            <w:tcBorders>
              <w:top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886" w:type="dxa"/>
            <w:tcBorders>
              <w:top w:val="nil"/>
              <w:bottom w:val="nil"/>
            </w:tcBorders>
            <w:shd w:val="clear" w:color="auto" w:fill="auto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8" w:type="dxa"/>
            <w:tcBorders>
              <w:top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shd w:val="clear" w:color="auto" w:fill="FFFFFF"/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</w:tcBorders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67" w:type="dxa"/>
            <w:tcBorders>
              <w:top w:val="nil"/>
            </w:tcBorders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C0A19" w:rsidRPr="00C85C94" w:rsidTr="00D455B0">
        <w:tc>
          <w:tcPr>
            <w:tcW w:w="617" w:type="dxa"/>
            <w:shd w:val="clear" w:color="auto" w:fill="auto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886" w:type="dxa"/>
            <w:shd w:val="clear" w:color="auto" w:fill="auto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28" w:type="dxa"/>
            <w:shd w:val="clear" w:color="auto" w:fill="auto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623" w:type="dxa"/>
            <w:shd w:val="clear" w:color="auto" w:fill="auto"/>
          </w:tcPr>
          <w:p w:rsidR="00CC0A19" w:rsidRPr="00C85C94" w:rsidRDefault="00CC0A19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767" w:type="dxa"/>
          </w:tcPr>
          <w:p w:rsidR="00CC0A19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5 850 000,00</w:t>
            </w:r>
          </w:p>
        </w:tc>
      </w:tr>
      <w:tr w:rsidR="00A47D6C" w:rsidRPr="00C85C94" w:rsidTr="00D455B0">
        <w:tc>
          <w:tcPr>
            <w:tcW w:w="617" w:type="dxa"/>
            <w:shd w:val="clear" w:color="auto" w:fill="auto"/>
          </w:tcPr>
          <w:p w:rsidR="00A47D6C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886" w:type="dxa"/>
            <w:shd w:val="clear" w:color="auto" w:fill="auto"/>
          </w:tcPr>
          <w:p w:rsidR="00A47D6C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 том числе НДС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7D6C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928" w:type="dxa"/>
            <w:shd w:val="clear" w:color="auto" w:fill="auto"/>
          </w:tcPr>
          <w:p w:rsidR="00A47D6C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623" w:type="dxa"/>
            <w:shd w:val="clear" w:color="auto" w:fill="auto"/>
          </w:tcPr>
          <w:p w:rsidR="00A47D6C" w:rsidRPr="00C85C94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767" w:type="dxa"/>
          </w:tcPr>
          <w:p w:rsidR="00A47D6C" w:rsidRDefault="00A47D6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892 372,88</w:t>
            </w:r>
          </w:p>
        </w:tc>
      </w:tr>
    </w:tbl>
    <w:p w:rsidR="00CC0A19" w:rsidRPr="00C85C94" w:rsidRDefault="00CC0A19" w:rsidP="00CC0A1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A19" w:rsidRPr="00C85C94" w:rsidRDefault="00CC0A19" w:rsidP="00CC0A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A47D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5 850 000,00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</w:t>
      </w:r>
      <w:r w:rsidR="00A47D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Пять миллионов восемьсот пятьдесят тысяч) рублей 00 копеек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Срок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25 рабочих дней с момента заключения Договора.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г. Мурманск, ул. Промышленная, д.15.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.7.1. Состав и характеристики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дизель-генераторов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указываются в приложении № 2 к проекту Договора.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.7.2.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соответствующей   Продукции.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.7.3. Поставщик обязан соблюдать особые требования к безопасности, качеству, техническим и функциональным характеристикам автомобильного прицепа: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автомобильный прицеп поставляется в соответствии с требованиями технического регламента таможенного союза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018/2011 от 9 декабря 2011 г. № 877 «О безопасности колесных транспортных средств»;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автомобильный прицеп поставляется в технически исправном состоянии,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готовым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 эксплуатации, прицеп не должен иметь повреждений;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покраска автомобильного прицепа должна быть выполнена на заводе изготовителе и не должна иметь повреждений;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автомобильном прицепе не должны быть заменены узлы и агрегаты, а также не произведен их ремонт;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автомобильный прицеп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всё штатное оборудование автомобильного прицепа должно находиться на предусмотренных заводом-изготовителем местах, и быть в рабочем состоянии.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.7.4. При передаче Товара Поставщик передает Покупателю: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инструкцию (руководство) по эксплуатации, сервисную книжку, паспорт транспортного средства на автомобильный прицеп;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руководство по эксплуатации, паспорт и сертификат соответствия ГОСТ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55006-2012 на дизель-генераторы;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акт заводского испытания на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дизель-генераторы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паспорт  на двигатели и силовые генераторы;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руководство по эксплуатации и паспорт на пульт управления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дизель-генераторами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сертификаты соответствия: ГОСТ, требованиям ПБ,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004/2011 «О безопасности низковольтного оборудования» на комплектующее оборудование;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паспорта с отметками о гарантийных обязательствах, руководства по эксплуатации и установке на комплектующее оборудование.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условия:</w:t>
      </w:r>
      <w:r w:rsidRPr="00C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C85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сентября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Гарантийный срок на Товар устанавливается: 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дизель-генераторы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12 месяцев со дня ввода в эксплуатацию или 500 часов наработки (в зависимости от того, какое событие наступит раньше).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кабели и контакторы устанавливается: 24 месяца с момента продажи.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на автоматические выключатели устанавливается: 60 месяцев с момента продажи.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кабельные наконечники устанавливается: 72 месяца с момента продажи.</w:t>
      </w:r>
    </w:p>
    <w:p w:rsidR="00CC0A19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кнопочные посты устанавливается: 12 месяцев с момента продажи.</w:t>
      </w:r>
    </w:p>
    <w:p w:rsidR="008F3B26" w:rsidRPr="00C85C94" w:rsidRDefault="008F3B26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автомобильный прицеп 12 месяцев с момента продажи.</w:t>
      </w:r>
    </w:p>
    <w:p w:rsidR="00CC0A19" w:rsidRPr="00C85C94" w:rsidRDefault="00CC0A19" w:rsidP="00CC0A19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.10. Условия оплаты: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CC0A19" w:rsidRPr="00C85C94" w:rsidRDefault="00CC0A19" w:rsidP="00CC0A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</w:t>
      </w:r>
      <w:r w:rsidR="00022A2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ета на оплату</w:t>
      </w: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 </w:t>
      </w:r>
    </w:p>
    <w:p w:rsidR="00CC0A19" w:rsidRDefault="00CC0A19" w:rsidP="00CC0A19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C0A19" w:rsidRDefault="00CC0A19" w:rsidP="009952C1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52C1" w:rsidRPr="00CC0A19" w:rsidRDefault="009952C1" w:rsidP="009952C1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952C1" w:rsidRPr="00CC0A19" w:rsidRDefault="009952C1" w:rsidP="009952C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952C1" w:rsidRPr="009952C1" w:rsidRDefault="009952C1" w:rsidP="009952C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952C1" w:rsidRPr="000351AC" w:rsidRDefault="009952C1" w:rsidP="009952C1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51AC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035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035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«ИТС»</w:t>
      </w:r>
      <w:r w:rsidR="000351AC"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0351AC"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125009, г. Москва, переулок Романов, д. 3, корпус</w:t>
      </w:r>
      <w:proofErr w:type="gramStart"/>
      <w:r w:rsidR="000351AC"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proofErr w:type="gramEnd"/>
      <w:r w:rsidR="000351AC"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офис 67 (ИНН 7704233685, КПП 770401001, ОГРН 1027700448445)</w:t>
      </w:r>
      <w:r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035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035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035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035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5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15" w:name="ПервоеМесто_2"/>
      <w:r w:rsidRPr="00035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B95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B95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0351AC">
        <w:rPr>
          <w:rFonts w:ascii="Calibri" w:eastAsia="Calibri" w:hAnsi="Calibri" w:cs="Times New Roman"/>
        </w:rPr>
        <w:fldChar w:fldCharType="end"/>
      </w:r>
      <w:bookmarkEnd w:id="15"/>
      <w:r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котировок </w:t>
      </w:r>
      <w:bookmarkStart w:id="16" w:name="_GoBack"/>
      <w:bookmarkEnd w:id="16"/>
      <w:r w:rsidRP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</w:p>
    <w:p w:rsidR="00A47D6C" w:rsidRPr="00C85C94" w:rsidRDefault="00A47D6C" w:rsidP="00A47D6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proofErr w:type="gramStart"/>
      <w:r w:rsid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дизель-генераторов</w:t>
      </w:r>
      <w:proofErr w:type="gramEnd"/>
      <w:r w:rsidR="0003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47D6C" w:rsidRPr="00C85C94" w:rsidRDefault="00A47D6C" w:rsidP="00A47D6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поставляемого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 шт.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ТовараУслуг1"/>
            <w:enabled/>
            <w:calcOnExit w:val="0"/>
            <w:textInput>
              <w:default w:val="ТовараУслуг1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поставляемого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47D6C" w:rsidRPr="00C85C94" w:rsidRDefault="00A47D6C" w:rsidP="00A47D6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886"/>
        <w:gridCol w:w="850"/>
        <w:gridCol w:w="878"/>
        <w:gridCol w:w="1957"/>
        <w:gridCol w:w="1767"/>
      </w:tblGrid>
      <w:tr w:rsidR="000351AC" w:rsidRPr="00C85C94" w:rsidTr="00F670D3"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886" w:type="dxa"/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Ед. </w:t>
            </w:r>
            <w:proofErr w:type="spell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измер</w:t>
            </w:r>
            <w:proofErr w:type="spell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Цена, руб. коп.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т. ч. НДС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18%)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Сумма, руб. коп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т. ч. НДС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18%)</w:t>
            </w:r>
          </w:p>
        </w:tc>
      </w:tr>
      <w:tr w:rsidR="000351AC" w:rsidRPr="00C85C94" w:rsidTr="00F670D3">
        <w:tc>
          <w:tcPr>
            <w:tcW w:w="617" w:type="dxa"/>
            <w:tcBorders>
              <w:bottom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86" w:type="dxa"/>
            <w:tcBorders>
              <w:bottom w:val="nil"/>
            </w:tcBorders>
            <w:shd w:val="clear" w:color="auto" w:fill="auto"/>
          </w:tcPr>
          <w:p w:rsidR="000351AC" w:rsidRPr="00C85C94" w:rsidRDefault="000351AC" w:rsidP="000351AC">
            <w:pPr>
              <w:tabs>
                <w:tab w:val="left" w:pos="163"/>
                <w:tab w:val="left" w:pos="234"/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Передвижной дизель-генератор AKSA AD 330 первой степени автоматизации (ручной запуск)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комплектации:     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шумоизолирующий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еврокожух</w:t>
            </w:r>
            <w:proofErr w:type="spellEnd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установленный на автомобильном прицепе  ПСА-7,5ТП 5024Р 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(или эквивалент)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установленным на нем в защитном тенте в устройством с электроприводом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частотным регулятором для намотки/размотки кабеля КГ 5*185 длиной 30 метров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- кабель 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КГ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5*185 длиной 30 м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- наконечник ТМЛ 185-16-23 в количестве  20 шт.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shd w:val="clear" w:color="auto" w:fill="FFFFFF"/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57" w:type="dxa"/>
            <w:tcBorders>
              <w:bottom w:val="nil"/>
            </w:tcBorders>
            <w:shd w:val="clear" w:color="auto" w:fill="auto"/>
            <w:vAlign w:val="center"/>
          </w:tcPr>
          <w:p w:rsidR="000351AC" w:rsidRPr="00C85C94" w:rsidRDefault="000351AC" w:rsidP="00F670D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2 686</w:t>
            </w:r>
            <w:r w:rsidR="00D455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023 (два миллиона шестьсот восемьдесят шесть тысяч двадцать три) руб. 00 коп.</w:t>
            </w:r>
          </w:p>
        </w:tc>
        <w:tc>
          <w:tcPr>
            <w:tcW w:w="1767" w:type="dxa"/>
            <w:tcBorders>
              <w:bottom w:val="nil"/>
            </w:tcBorders>
            <w:vAlign w:val="center"/>
          </w:tcPr>
          <w:p w:rsidR="00D455B0" w:rsidRDefault="00D455B0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2 686 023,00</w:t>
            </w:r>
          </w:p>
          <w:p w:rsidR="000351AC" w:rsidRPr="00C85C94" w:rsidRDefault="00D455B0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(два миллиона шестьсот восемьдесят шесть тысяч двадцать три) руб. 00 коп.</w:t>
            </w:r>
          </w:p>
        </w:tc>
      </w:tr>
      <w:tr w:rsidR="000351AC" w:rsidRPr="00C85C94" w:rsidTr="00F670D3">
        <w:trPr>
          <w:trHeight w:val="3073"/>
        </w:trPr>
        <w:tc>
          <w:tcPr>
            <w:tcW w:w="617" w:type="dxa"/>
            <w:tcBorders>
              <w:bottom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886" w:type="dxa"/>
            <w:tcBorders>
              <w:bottom w:val="nil"/>
            </w:tcBorders>
            <w:shd w:val="clear" w:color="auto" w:fill="auto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Дизель-генератор  AKSA APD 200C </w:t>
            </w: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(или эквивалент),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комплектации: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шумоизолирующий </w:t>
            </w:r>
            <w:proofErr w:type="spellStart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еврокожух</w:t>
            </w:r>
            <w:proofErr w:type="spellEnd"/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раме, второй степени автоматизации (с автозапуском);            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кабель ВВГ 4х70 длиной 80 м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выключатель автоматический ВА88-35 3Р 250А 35 кА РЭ-2500А в  количестве 1 шт.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наконечник ТМЛ 70-10-13  (КВТ) в количестве 44 шт.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контактор КТ-6033Б-250-220АС-У3-КЭА3 в  количестве 4 шт.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кнопочный пост ПКЕ 222-2УХЛ2 в  количестве 2 шт.</w:t>
            </w:r>
          </w:p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выключатель автоматический ВА 47-29 10А 1Р </w:t>
            </w:r>
            <w:proofErr w:type="spell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хар</w:t>
            </w:r>
            <w:proofErr w:type="spell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-ка</w:t>
            </w:r>
            <w:proofErr w:type="gramStart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</w:t>
            </w:r>
            <w:proofErr w:type="gramEnd"/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 количестве: 4 шт</w:t>
            </w: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shd w:val="clear" w:color="auto" w:fill="FFFFFF"/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C9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57" w:type="dxa"/>
            <w:tcBorders>
              <w:bottom w:val="nil"/>
            </w:tcBorders>
            <w:shd w:val="clear" w:color="auto" w:fill="auto"/>
            <w:vAlign w:val="center"/>
          </w:tcPr>
          <w:p w:rsidR="000351AC" w:rsidRDefault="00D455B0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1 484 381,00</w:t>
            </w:r>
          </w:p>
          <w:p w:rsidR="00D455B0" w:rsidRPr="00C85C94" w:rsidRDefault="00D455B0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(один миллион четыреста восемьдесят четыре тысячи триста восемьдесят один) руб. 00 коп.</w:t>
            </w:r>
          </w:p>
        </w:tc>
        <w:tc>
          <w:tcPr>
            <w:tcW w:w="1767" w:type="dxa"/>
            <w:tcBorders>
              <w:bottom w:val="nil"/>
            </w:tcBorders>
            <w:vAlign w:val="center"/>
          </w:tcPr>
          <w:p w:rsidR="000351AC" w:rsidRDefault="00D455B0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2 968 762,00</w:t>
            </w:r>
          </w:p>
          <w:p w:rsidR="00D455B0" w:rsidRPr="00C85C94" w:rsidRDefault="00D455B0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(два миллиона девятьсот шестьдесят восемь тысяч семьсот шестьдесят два) руб. 00 коп.</w:t>
            </w:r>
          </w:p>
        </w:tc>
      </w:tr>
      <w:tr w:rsidR="000351AC" w:rsidRPr="00C85C94" w:rsidTr="00F670D3">
        <w:tc>
          <w:tcPr>
            <w:tcW w:w="617" w:type="dxa"/>
            <w:tcBorders>
              <w:top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886" w:type="dxa"/>
            <w:tcBorders>
              <w:top w:val="nil"/>
              <w:bottom w:val="nil"/>
            </w:tcBorders>
            <w:shd w:val="clear" w:color="auto" w:fill="auto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" w:type="dxa"/>
            <w:tcBorders>
              <w:top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shd w:val="clear" w:color="auto" w:fill="FFFFFF"/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</w:tcBorders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67" w:type="dxa"/>
            <w:tcBorders>
              <w:top w:val="nil"/>
            </w:tcBorders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351AC" w:rsidRPr="00C85C94" w:rsidTr="00F670D3">
        <w:tc>
          <w:tcPr>
            <w:tcW w:w="617" w:type="dxa"/>
            <w:shd w:val="clear" w:color="auto" w:fill="auto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886" w:type="dxa"/>
            <w:shd w:val="clear" w:color="auto" w:fill="auto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8" w:type="dxa"/>
            <w:shd w:val="clear" w:color="auto" w:fill="auto"/>
          </w:tcPr>
          <w:p w:rsidR="000351AC" w:rsidRPr="00C85C94" w:rsidRDefault="000351AC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5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957" w:type="dxa"/>
            <w:shd w:val="clear" w:color="auto" w:fill="auto"/>
          </w:tcPr>
          <w:p w:rsidR="000351AC" w:rsidRPr="00D455B0" w:rsidRDefault="00740D7B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767" w:type="dxa"/>
          </w:tcPr>
          <w:p w:rsidR="000351AC" w:rsidRPr="00C85C94" w:rsidRDefault="00740D7B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4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5 654 785,00</w:t>
            </w:r>
          </w:p>
        </w:tc>
      </w:tr>
      <w:tr w:rsidR="00D455B0" w:rsidRPr="00C85C94" w:rsidTr="00F670D3">
        <w:tc>
          <w:tcPr>
            <w:tcW w:w="617" w:type="dxa"/>
            <w:shd w:val="clear" w:color="auto" w:fill="auto"/>
          </w:tcPr>
          <w:p w:rsidR="00D455B0" w:rsidRPr="00C85C94" w:rsidRDefault="00D455B0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886" w:type="dxa"/>
            <w:shd w:val="clear" w:color="auto" w:fill="auto"/>
          </w:tcPr>
          <w:p w:rsidR="00D455B0" w:rsidRPr="00C85C94" w:rsidRDefault="00D455B0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 том числе НДС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55B0" w:rsidRPr="00C85C94" w:rsidRDefault="00740D7B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878" w:type="dxa"/>
            <w:shd w:val="clear" w:color="auto" w:fill="auto"/>
          </w:tcPr>
          <w:p w:rsidR="00D455B0" w:rsidRPr="00740D7B" w:rsidRDefault="00740D7B" w:rsidP="008F5D08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4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57" w:type="dxa"/>
            <w:shd w:val="clear" w:color="auto" w:fill="auto"/>
          </w:tcPr>
          <w:p w:rsidR="00D455B0" w:rsidRPr="00D455B0" w:rsidRDefault="00740D7B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767" w:type="dxa"/>
          </w:tcPr>
          <w:p w:rsidR="00D455B0" w:rsidRPr="00C85C94" w:rsidRDefault="00740D7B" w:rsidP="00D455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4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862 594,32</w:t>
            </w:r>
          </w:p>
        </w:tc>
      </w:tr>
    </w:tbl>
    <w:p w:rsidR="00A47D6C" w:rsidRPr="00C85C94" w:rsidRDefault="00A47D6C" w:rsidP="00F670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D455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5 654 785,00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</w:t>
      </w:r>
      <w:r w:rsidR="00D455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пять миллионов шестьсот пятьдесят четыре тысячи семьсот восемьдесят пять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 рублей 00 копеек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Срок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25 рабочих дней с момента заключения Договора.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г. Мурманск, ул. Промышленная, д.15.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.7.1. Состав и характеристики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дизель-генераторов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указываются в приложении № 2 к проекту Договора.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.7.2.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соответствующей   Продукции.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.7.3. Поставщик обязан соблюдать особые требования к безопасности, качеству, техническим и функциональным характеристикам автомобильного прицепа: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автомобильный прицеп поставляется в соответствии с требованиями технического регламента таможенного союза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018/2011 от 9 декабря 2011 г. № 877 «О безопасности колесных транспортных средств»;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автомобильный прицеп поставляется в технически исправном состоянии,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готовым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 эксплуатации, прицеп не должен иметь повреждений;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покраска автомобильного прицепа должна быть выполнена на заводе изготовителе и не должна иметь повреждений;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- на автомобильном прицепе не должны быть заменены узлы и агрегаты, а также не произведен их ремонт;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автомобильный прицеп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всё штатное оборудование автомобильного прицепа должно находиться на предусмотренных заводом-изготовителем местах, и быть в рабочем состоянии.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.7.4. При передаче Товара Поставщик передает Покупателю: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инструкцию (руководство) по эксплуатации, сервисную книжку, паспорт транспортного средства на автомобильный прицеп;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руководство по эксплуатации, паспорт и сертификат соответствия ГОСТ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55006-2012 на дизель-генераторы;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акт заводского испытания на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дизель-генераторы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паспорт  на двигатели и силовые генераторы;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руководство по эксплуатации и паспорт на пульт управления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дизель-генераторами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сертификаты соответствия: ГОСТ, требованиям ПБ,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004/2011 «О безопасности низковольтного оборудования» на комплектующее оборудование;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паспорта с отметками о гарантийных обязательствах, руководства по эксплуатации и установке на комплектующее оборудование.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условия:</w:t>
      </w:r>
      <w:r w:rsidRPr="00C85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C85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сентября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Гарантийный срок на Товар устанавливается: 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</w:t>
      </w:r>
      <w:proofErr w:type="gramStart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дизель-генераторы</w:t>
      </w:r>
      <w:proofErr w:type="gramEnd"/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12 месяцев со дня ввода в эксплуатацию или 500 часов наработки (в зависимости от того, какое событие наступит раньше).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автомобильный прицеп 12 месяцев с момента продажи.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кабели и контакторы устанавливается: 24 месяца с момента продажи.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автоматические выключатели устанавливается: 60 месяцев с момента продажи.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кабельные наконечники устанавливается: 72 месяца с момента продажи.</w:t>
      </w:r>
    </w:p>
    <w:p w:rsidR="00A47D6C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кнопочные посты устанавливается: 12 месяцев с момента продажи.</w:t>
      </w:r>
    </w:p>
    <w:p w:rsidR="008F3B26" w:rsidRPr="00C85C94" w:rsidRDefault="008F3B26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автомобильный прицеп 12 месяцев с момента продажи.</w:t>
      </w:r>
    </w:p>
    <w:p w:rsidR="00A47D6C" w:rsidRPr="00C85C94" w:rsidRDefault="00A47D6C" w:rsidP="00A47D6C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8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.10. Условия оплаты: </w: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A47D6C" w:rsidRPr="00C85C94" w:rsidRDefault="00A47D6C" w:rsidP="00A4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</w:t>
      </w:r>
      <w:r w:rsidR="00022A2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ета на оплату</w:t>
      </w:r>
      <w:r w:rsidRPr="00C85C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 </w:t>
      </w:r>
    </w:p>
    <w:p w:rsidR="00A47D6C" w:rsidRDefault="00A47D6C" w:rsidP="00A47D6C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C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A47D6C" w:rsidRDefault="00A47D6C" w:rsidP="00A47D6C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7D6C" w:rsidRPr="00CC0A19" w:rsidRDefault="00A47D6C" w:rsidP="00A47D6C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47D6C" w:rsidRPr="00CC0A19" w:rsidRDefault="00A47D6C" w:rsidP="00A47D6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47D6C" w:rsidRDefault="00A47D6C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7D6C" w:rsidRDefault="00A47D6C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2B0C" w:rsidRPr="005C2F87" w:rsidRDefault="00C82B0C" w:rsidP="00C82B0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Председатель Комиссии по закупке, </w:t>
      </w:r>
    </w:p>
    <w:p w:rsidR="00C82B0C" w:rsidRPr="005C2F87" w:rsidRDefault="00C82B0C" w:rsidP="00C82B0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C82B0C" w:rsidRPr="005C2F87" w:rsidRDefault="00C82B0C" w:rsidP="00C82B0C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82B0C" w:rsidRPr="005C2F87" w:rsidRDefault="00C82B0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C82B0C" w:rsidRPr="005C2F87" w:rsidRDefault="00C82B0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82B0C" w:rsidRPr="005C2F87" w:rsidRDefault="00C82B0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82B0C" w:rsidRDefault="009A46D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DC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9A46DC">
        <w:rPr>
          <w:rFonts w:ascii="Times New Roman" w:hAnsi="Times New Roman" w:cs="Times New Roman"/>
          <w:sz w:val="24"/>
          <w:szCs w:val="24"/>
        </w:rPr>
        <w:t>Матрехин</w:t>
      </w:r>
      <w:proofErr w:type="spellEnd"/>
      <w:r w:rsidR="00C82B0C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081CD7" w:rsidRDefault="009A46D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DC">
        <w:rPr>
          <w:rFonts w:ascii="Times New Roman" w:hAnsi="Times New Roman" w:cs="Times New Roman"/>
          <w:sz w:val="24"/>
          <w:szCs w:val="24"/>
        </w:rPr>
        <w:t>И.А. Павлов</w:t>
      </w:r>
      <w:r w:rsidR="00C82B0C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9A46DC" w:rsidRDefault="009A46DC" w:rsidP="009A46DC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DC">
        <w:rPr>
          <w:rFonts w:ascii="Times New Roman" w:hAnsi="Times New Roman" w:cs="Times New Roman"/>
          <w:sz w:val="24"/>
          <w:szCs w:val="24"/>
        </w:rPr>
        <w:t>О.Е. Гребнева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9A46DC" w:rsidRDefault="009A46D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6DC" w:rsidRDefault="009A46DC" w:rsidP="009E45F4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B0C" w:rsidRPr="005C2F87" w:rsidRDefault="00C82B0C" w:rsidP="009E45F4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82B0C" w:rsidRPr="003A5E2B" w:rsidRDefault="009A46DC" w:rsidP="009E45F4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Баннова</w:t>
      </w:r>
      <w:r w:rsidR="00C82B0C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F57ECC" w:rsidRDefault="00F57ECC" w:rsidP="009E45F4">
      <w:pPr>
        <w:spacing w:after="0" w:line="240" w:lineRule="atLeast"/>
        <w:rPr>
          <w:sz w:val="24"/>
          <w:szCs w:val="24"/>
        </w:rPr>
      </w:pPr>
    </w:p>
    <w:p w:rsidR="00F57ECC" w:rsidRPr="00F57ECC" w:rsidRDefault="00F57ECC">
      <w:pPr>
        <w:rPr>
          <w:color w:val="FF0000"/>
          <w:sz w:val="24"/>
          <w:szCs w:val="24"/>
        </w:rPr>
      </w:pPr>
    </w:p>
    <w:sectPr w:rsidR="00F57ECC" w:rsidRPr="00F57ECC" w:rsidSect="00D610DD">
      <w:headerReference w:type="default" r:id="rId11"/>
      <w:pgSz w:w="11906" w:h="16838"/>
      <w:pgMar w:top="993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5A" w:rsidRDefault="009E395A" w:rsidP="00600A82">
      <w:pPr>
        <w:spacing w:after="0" w:line="240" w:lineRule="auto"/>
      </w:pPr>
      <w:r>
        <w:separator/>
      </w:r>
    </w:p>
  </w:endnote>
  <w:endnote w:type="continuationSeparator" w:id="0">
    <w:p w:rsidR="009E395A" w:rsidRDefault="009E395A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5A" w:rsidRDefault="009E395A" w:rsidP="00600A82">
      <w:pPr>
        <w:spacing w:after="0" w:line="240" w:lineRule="auto"/>
      </w:pPr>
      <w:r>
        <w:separator/>
      </w:r>
    </w:p>
  </w:footnote>
  <w:footnote w:type="continuationSeparator" w:id="0">
    <w:p w:rsidR="009E395A" w:rsidRDefault="009E395A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9E395A" w:rsidRDefault="009E39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535">
          <w:rPr>
            <w:noProof/>
          </w:rPr>
          <w:t>8</w:t>
        </w:r>
        <w:r>
          <w:fldChar w:fldCharType="end"/>
        </w:r>
      </w:p>
      <w:p w:rsidR="009E395A" w:rsidRPr="00713F8F" w:rsidRDefault="009E395A" w:rsidP="00D455B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06.02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E395A" w:rsidRPr="00C85C94" w:rsidRDefault="009E395A" w:rsidP="00C85C9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</w:t>
        </w:r>
        <w:r w:rsidRPr="00C85C9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9E395A" w:rsidRPr="00C85C94" w:rsidRDefault="009E395A" w:rsidP="00C85C9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85C94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поставки </w:t>
        </w:r>
        <w:proofErr w:type="gramStart"/>
        <w:r w:rsidRPr="00C85C94">
          <w:rPr>
            <w:rFonts w:ascii="Times New Roman" w:eastAsia="Calibri" w:hAnsi="Times New Roman" w:cs="Times New Roman"/>
            <w:sz w:val="16"/>
            <w:szCs w:val="16"/>
          </w:rPr>
          <w:t>дизель-генераторов</w:t>
        </w:r>
        <w:proofErr w:type="gramEnd"/>
      </w:p>
      <w:p w:rsidR="009E395A" w:rsidRDefault="009E395A" w:rsidP="00C85C9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  <w:p w:rsidR="009E395A" w:rsidRDefault="00B95535" w:rsidP="00D455B0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6395686"/>
    <w:multiLevelType w:val="multilevel"/>
    <w:tmpl w:val="250EEF76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">
    <w:nsid w:val="16A31F2D"/>
    <w:multiLevelType w:val="hybridMultilevel"/>
    <w:tmpl w:val="E460F9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>
    <w:nsid w:val="48BC05AD"/>
    <w:multiLevelType w:val="multilevel"/>
    <w:tmpl w:val="C75E11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>
    <w:nsid w:val="771D6A23"/>
    <w:multiLevelType w:val="multilevel"/>
    <w:tmpl w:val="36884F0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6926"/>
    <w:rsid w:val="00022A2D"/>
    <w:rsid w:val="00023B8F"/>
    <w:rsid w:val="000351AC"/>
    <w:rsid w:val="00067769"/>
    <w:rsid w:val="00081CD7"/>
    <w:rsid w:val="0009680A"/>
    <w:rsid w:val="000D7D4B"/>
    <w:rsid w:val="001447F6"/>
    <w:rsid w:val="001529E2"/>
    <w:rsid w:val="001747A6"/>
    <w:rsid w:val="001869C7"/>
    <w:rsid w:val="001A4C8F"/>
    <w:rsid w:val="001C298E"/>
    <w:rsid w:val="001C2EA6"/>
    <w:rsid w:val="001F1687"/>
    <w:rsid w:val="00205799"/>
    <w:rsid w:val="0022239E"/>
    <w:rsid w:val="00241B76"/>
    <w:rsid w:val="002856DF"/>
    <w:rsid w:val="002A43A6"/>
    <w:rsid w:val="002D001E"/>
    <w:rsid w:val="002F7836"/>
    <w:rsid w:val="00306517"/>
    <w:rsid w:val="00313F1B"/>
    <w:rsid w:val="00315930"/>
    <w:rsid w:val="003275B1"/>
    <w:rsid w:val="00334291"/>
    <w:rsid w:val="003541B2"/>
    <w:rsid w:val="00377BBF"/>
    <w:rsid w:val="003A7A46"/>
    <w:rsid w:val="003B4BE3"/>
    <w:rsid w:val="0041197C"/>
    <w:rsid w:val="0044626D"/>
    <w:rsid w:val="00472C17"/>
    <w:rsid w:val="00486510"/>
    <w:rsid w:val="0053786A"/>
    <w:rsid w:val="00581818"/>
    <w:rsid w:val="005976A4"/>
    <w:rsid w:val="00600A82"/>
    <w:rsid w:val="00606108"/>
    <w:rsid w:val="0062394E"/>
    <w:rsid w:val="00634088"/>
    <w:rsid w:val="00661697"/>
    <w:rsid w:val="00670255"/>
    <w:rsid w:val="00670AC9"/>
    <w:rsid w:val="0068372D"/>
    <w:rsid w:val="00690AF9"/>
    <w:rsid w:val="006C734A"/>
    <w:rsid w:val="006D46C7"/>
    <w:rsid w:val="006F1B89"/>
    <w:rsid w:val="006F79DB"/>
    <w:rsid w:val="007253E4"/>
    <w:rsid w:val="00740D7B"/>
    <w:rsid w:val="00793358"/>
    <w:rsid w:val="007B303D"/>
    <w:rsid w:val="007C53A5"/>
    <w:rsid w:val="00815A11"/>
    <w:rsid w:val="008275CB"/>
    <w:rsid w:val="0085200F"/>
    <w:rsid w:val="0086395E"/>
    <w:rsid w:val="008677B6"/>
    <w:rsid w:val="008A0C16"/>
    <w:rsid w:val="008B542E"/>
    <w:rsid w:val="008E5BFF"/>
    <w:rsid w:val="008F3B26"/>
    <w:rsid w:val="008F5D08"/>
    <w:rsid w:val="009333BA"/>
    <w:rsid w:val="009544D3"/>
    <w:rsid w:val="00960CB8"/>
    <w:rsid w:val="00990B26"/>
    <w:rsid w:val="009952C1"/>
    <w:rsid w:val="00995365"/>
    <w:rsid w:val="009A38E9"/>
    <w:rsid w:val="009A46DC"/>
    <w:rsid w:val="009A78CB"/>
    <w:rsid w:val="009E395A"/>
    <w:rsid w:val="009E45E7"/>
    <w:rsid w:val="009E45F4"/>
    <w:rsid w:val="00A47D6C"/>
    <w:rsid w:val="00A64512"/>
    <w:rsid w:val="00A7216A"/>
    <w:rsid w:val="00A724FA"/>
    <w:rsid w:val="00A80F49"/>
    <w:rsid w:val="00A854F7"/>
    <w:rsid w:val="00A92A8B"/>
    <w:rsid w:val="00AF5FC8"/>
    <w:rsid w:val="00B10A5F"/>
    <w:rsid w:val="00B13728"/>
    <w:rsid w:val="00B14B7B"/>
    <w:rsid w:val="00B30D11"/>
    <w:rsid w:val="00B9357E"/>
    <w:rsid w:val="00B95535"/>
    <w:rsid w:val="00BF1231"/>
    <w:rsid w:val="00BF1295"/>
    <w:rsid w:val="00C17525"/>
    <w:rsid w:val="00C62064"/>
    <w:rsid w:val="00C8265F"/>
    <w:rsid w:val="00C82B0C"/>
    <w:rsid w:val="00C85C94"/>
    <w:rsid w:val="00CC0A19"/>
    <w:rsid w:val="00D00214"/>
    <w:rsid w:val="00D3664A"/>
    <w:rsid w:val="00D43372"/>
    <w:rsid w:val="00D455B0"/>
    <w:rsid w:val="00D60499"/>
    <w:rsid w:val="00D610DD"/>
    <w:rsid w:val="00D904D3"/>
    <w:rsid w:val="00DC2DEC"/>
    <w:rsid w:val="00DC5129"/>
    <w:rsid w:val="00DD003C"/>
    <w:rsid w:val="00E439F3"/>
    <w:rsid w:val="00E6577B"/>
    <w:rsid w:val="00E65FAD"/>
    <w:rsid w:val="00E83E32"/>
    <w:rsid w:val="00EA4582"/>
    <w:rsid w:val="00EC18AA"/>
    <w:rsid w:val="00EE36E9"/>
    <w:rsid w:val="00F24B18"/>
    <w:rsid w:val="00F4714E"/>
    <w:rsid w:val="00F57ECC"/>
    <w:rsid w:val="00F670D3"/>
    <w:rsid w:val="00F7411E"/>
    <w:rsid w:val="00FD08C6"/>
    <w:rsid w:val="00FD5772"/>
    <w:rsid w:val="00FF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">
    <w:name w:val="Стиль1"/>
    <w:uiPriority w:val="99"/>
    <w:rsid w:val="00C85C94"/>
    <w:pPr>
      <w:numPr>
        <w:numId w:val="5"/>
      </w:numPr>
    </w:pPr>
  </w:style>
  <w:style w:type="table" w:styleId="aa">
    <w:name w:val="Table Grid"/>
    <w:basedOn w:val="a1"/>
    <w:uiPriority w:val="59"/>
    <w:rsid w:val="00A64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A645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">
    <w:name w:val="Стиль1"/>
    <w:uiPriority w:val="99"/>
    <w:rsid w:val="00C85C94"/>
    <w:pPr>
      <w:numPr>
        <w:numId w:val="5"/>
      </w:numPr>
    </w:pPr>
  </w:style>
  <w:style w:type="table" w:styleId="aa">
    <w:name w:val="Table Grid"/>
    <w:basedOn w:val="a1"/>
    <w:uiPriority w:val="59"/>
    <w:rsid w:val="00A64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A645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adiz.ru/production/dizelnye_elektrostantsii_ot_100_kvt/dizelnaya-elektrostantsiya-ad-240-t400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zgu.ru/zapasnie-chasti-i-komplektuyushie-k-generatoram-i-elektrostanciyam/engines/sc7h250d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vtosys.com/dvigateli/shanghai-diesel/sd-sc7h250d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11</Pages>
  <Words>3879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88</cp:revision>
  <cp:lastPrinted>2017-02-08T13:44:00Z</cp:lastPrinted>
  <dcterms:created xsi:type="dcterms:W3CDTF">2016-08-26T13:02:00Z</dcterms:created>
  <dcterms:modified xsi:type="dcterms:W3CDTF">2017-02-08T13:49:00Z</dcterms:modified>
</cp:coreProperties>
</file>