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90" w:rsidRPr="00616854" w:rsidRDefault="00A31890" w:rsidP="00616854">
      <w:pPr>
        <w:spacing w:after="0" w:line="315" w:lineRule="atLeast"/>
        <w:ind w:left="284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</w:t>
      </w:r>
    </w:p>
    <w:p w:rsidR="00021D98" w:rsidRDefault="001B4839" w:rsidP="00021D9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31890"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A31890" w:rsidRPr="00A318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</w:t>
      </w:r>
    </w:p>
    <w:p w:rsidR="00A31890" w:rsidRDefault="00A31890" w:rsidP="00021D98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318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поставки </w:t>
      </w:r>
      <w:r w:rsidR="00D171F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экономайзера стального БВЭС-4-1</w:t>
      </w:r>
    </w:p>
    <w:p w:rsidR="00021D98" w:rsidRPr="001B4839" w:rsidRDefault="00021D98" w:rsidP="00616854">
      <w:pPr>
        <w:tabs>
          <w:tab w:val="left" w:pos="851"/>
        </w:tabs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31890" w:rsidRPr="00616854" w:rsidRDefault="00A31890" w:rsidP="00882219">
      <w:pPr>
        <w:tabs>
          <w:tab w:val="left" w:pos="851"/>
        </w:tabs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A856D6" w:rsidRPr="00A856D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Кандалакша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</w:t>
      </w:r>
      <w:r w:rsidR="00021D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21076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171F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1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2015г.</w:t>
      </w:r>
    </w:p>
    <w:p w:rsidR="00021076" w:rsidRPr="00021076" w:rsidRDefault="00021076" w:rsidP="00882219">
      <w:pPr>
        <w:keepNext/>
        <w:keepLines/>
        <w:tabs>
          <w:tab w:val="left" w:leader="underscore" w:pos="0"/>
          <w:tab w:val="left" w:pos="567"/>
          <w:tab w:val="left" w:pos="709"/>
          <w:tab w:val="left" w:pos="851"/>
        </w:tabs>
        <w:suppressAutoHyphens/>
        <w:spacing w:before="200" w:after="0" w:line="240" w:lineRule="auto"/>
        <w:ind w:left="284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 Предмет</w:t>
      </w:r>
      <w:r w:rsidR="00DC228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открытого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запроса цен:</w:t>
      </w:r>
      <w:bookmarkEnd w:id="0"/>
      <w:bookmarkEnd w:id="1"/>
      <w:bookmarkEnd w:id="2"/>
      <w:bookmarkEnd w:id="3"/>
    </w:p>
    <w:p w:rsidR="00021076" w:rsidRPr="00021076" w:rsidRDefault="00021076" w:rsidP="00882219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договора: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поставка</w:t>
      </w:r>
      <w:r w:rsidRPr="0002107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D171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экономайзера стального БВЭС-4-1</w:t>
      </w:r>
      <w:r w:rsidR="00051F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по тексту – Товар)</w:t>
      </w:r>
      <w:bookmarkStart w:id="8" w:name="_Toc366762351"/>
      <w:bookmarkEnd w:id="4"/>
      <w:bookmarkEnd w:id="5"/>
      <w:bookmarkEnd w:id="6"/>
      <w:bookmarkEnd w:id="7"/>
      <w:r w:rsid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21076" w:rsidRPr="00021076" w:rsidRDefault="00021076" w:rsidP="00882219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1.2. Общее количество поставляемого Товара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: </w:t>
      </w:r>
      <w:bookmarkEnd w:id="8"/>
      <w:r w:rsidR="00D171F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021D9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шт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21D98" w:rsidRPr="00021D98" w:rsidRDefault="00021076" w:rsidP="00882219">
      <w:pPr>
        <w:tabs>
          <w:tab w:val="left" w:pos="142"/>
          <w:tab w:val="left" w:pos="284"/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7FB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Начальная (максимальная) цена договора: </w:t>
      </w:r>
      <w:r w:rsidR="00D171F1">
        <w:rPr>
          <w:rFonts w:ascii="Times New Roman" w:eastAsia="Times New Roman" w:hAnsi="Times New Roman" w:cs="Times New Roman"/>
          <w:sz w:val="24"/>
          <w:szCs w:val="24"/>
          <w:lang w:eastAsia="ar-SA"/>
        </w:rPr>
        <w:t>944712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r w:rsidR="00D171F1">
        <w:rPr>
          <w:rFonts w:ascii="Times New Roman" w:eastAsia="Times New Roman" w:hAnsi="Times New Roman" w:cs="Times New Roman"/>
          <w:sz w:val="24"/>
          <w:szCs w:val="24"/>
          <w:lang w:eastAsia="ar-SA"/>
        </w:rPr>
        <w:t>Девятьсот сорок четыре тысячи семьсот двенадцать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 рублей </w:t>
      </w:r>
      <w:r w:rsidR="00D171F1">
        <w:rPr>
          <w:rFonts w:ascii="Times New Roman" w:eastAsia="Times New Roman" w:hAnsi="Times New Roman" w:cs="Times New Roman"/>
          <w:sz w:val="24"/>
          <w:szCs w:val="24"/>
          <w:lang w:eastAsia="ar-SA"/>
        </w:rPr>
        <w:t>00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копеек. Указанная цена включает в себя 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  <w:r w:rsidR="00021D98" w:rsidRPr="00021D98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</w:t>
      </w:r>
    </w:p>
    <w:p w:rsidR="00F41C89" w:rsidRPr="00F41C89" w:rsidRDefault="00021076" w:rsidP="008822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7FB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Срок поставки товара:</w:t>
      </w:r>
      <w:r w:rsidRPr="000210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1C89" w:rsidRP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>40 (Сорок) календарных дней с момента осуществления  предоплаты.</w:t>
      </w:r>
    </w:p>
    <w:p w:rsidR="00021076" w:rsidRPr="00021076" w:rsidRDefault="00021076" w:rsidP="00882219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84" w:right="-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.</w:t>
      </w:r>
      <w:r w:rsidR="002A57FB"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5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. </w:t>
      </w:r>
      <w:r w:rsidRPr="0002107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F41C89" w:rsidRP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Мурманская обл., г. Кандалакша, ул. Заводская, д. 4.</w:t>
      </w:r>
    </w:p>
    <w:p w:rsidR="00F41C89" w:rsidRPr="00F41C89" w:rsidRDefault="00021076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</w:t>
      </w:r>
      <w:r w:rsidR="002A57FB" w:rsidRPr="00616854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.6</w:t>
      </w:r>
      <w:r w:rsidRPr="00021076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F41C89"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Условия оплаты:</w:t>
      </w:r>
      <w:r w:rsidR="00F41C89" w:rsidRPr="00F41C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41C89"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- 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021076" w:rsidRPr="00021076" w:rsidRDefault="00F41C89" w:rsidP="00882219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1C89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- остальные 50%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</w:t>
      </w:r>
      <w:r w:rsidR="00021076" w:rsidRPr="0002107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51037" w:rsidRPr="00251037" w:rsidRDefault="00021076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A57FB" w:rsidRPr="00616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.7</w:t>
      </w:r>
      <w:r w:rsidRPr="0002107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251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Гарантийные</w:t>
      </w:r>
      <w:r w:rsidR="00251037"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10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обязательства</w:t>
      </w:r>
      <w:r w:rsidR="00251037"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="00251037" w:rsidRPr="00251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 12 (Двенадцать) месяцев со дня ввода в эксплуатацию, но не более 24 (Двадцать четыре) месяцев с момента поставки.</w:t>
      </w:r>
    </w:p>
    <w:p w:rsidR="00251037" w:rsidRPr="00251037" w:rsidRDefault="00251037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510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Срок исполнения гарантийных обязательств по устранению недостатков  не может превышать 30 (Тридцать) дней с момента получения Поставщиком уведомления  Покупателя о необходимости ус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транения выявленных недостатков.</w:t>
      </w:r>
    </w:p>
    <w:p w:rsidR="00251037" w:rsidRPr="00251037" w:rsidRDefault="00F41C89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Pr="00F41C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51037" w:rsidRPr="00F41C8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Особые условия: </w:t>
      </w:r>
      <w:r w:rsidR="00251037" w:rsidRPr="00F41C8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Поставка Товара осуществляется </w:t>
      </w:r>
      <w:r w:rsidR="00251037" w:rsidRPr="002510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транспортабельным блоком в плотной металлической обшивке и изоляции (допустимо разделение на несколько транспортабельных блоков) до склада Покупателя</w:t>
      </w:r>
      <w:r w:rsidR="0025103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F41C89" w:rsidRPr="00F41C89" w:rsidRDefault="00F41C89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890" w:rsidRPr="00D75AD6" w:rsidRDefault="00A31890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1B4839"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 заседании </w:t>
      </w:r>
      <w:r w:rsidR="009D13AC" w:rsidRPr="009D13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Комиссии по закупке </w:t>
      </w:r>
      <w:r w:rsidR="001B4839"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приняли участие:</w:t>
      </w:r>
    </w:p>
    <w:p w:rsidR="00251037" w:rsidRPr="00F41C89" w:rsidRDefault="00F41C89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Председатель Комиссии по закупке </w:t>
      </w:r>
      <w:r w:rsidR="00251037">
        <w:rPr>
          <w:rFonts w:ascii="Times New Roman" w:eastAsia="Calibri" w:hAnsi="Times New Roman" w:cs="Times New Roman"/>
          <w:sz w:val="24"/>
          <w:szCs w:val="24"/>
        </w:rPr>
        <w:t xml:space="preserve">Проснев М.А. – главный инженер </w:t>
      </w:r>
      <w:r w:rsidR="00251037" w:rsidRPr="00F41C89">
        <w:rPr>
          <w:rFonts w:ascii="Times New Roman" w:eastAsia="Calibri" w:hAnsi="Times New Roman" w:cs="Times New Roman"/>
          <w:sz w:val="24"/>
          <w:szCs w:val="24"/>
        </w:rPr>
        <w:t xml:space="preserve">филиала </w:t>
      </w:r>
      <w:r w:rsidR="009063D0"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="00251037" w:rsidRPr="00F41C89">
        <w:rPr>
          <w:rFonts w:ascii="Times New Roman" w:eastAsia="Calibri" w:hAnsi="Times New Roman" w:cs="Times New Roman"/>
          <w:sz w:val="24"/>
          <w:szCs w:val="24"/>
        </w:rPr>
        <w:t xml:space="preserve">ОАО «Мурманэнергосбыт» «Кандалакшская теплосеть»; </w:t>
      </w:r>
    </w:p>
    <w:p w:rsidR="00251037" w:rsidRPr="00251037" w:rsidRDefault="00251037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Моисеев М.А. – заместитель главного инженера </w:t>
      </w:r>
      <w:r w:rsidRPr="00251037">
        <w:rPr>
          <w:rFonts w:ascii="Times New Roman" w:eastAsia="Calibri" w:hAnsi="Times New Roman" w:cs="Times New Roman"/>
          <w:sz w:val="24"/>
          <w:szCs w:val="24"/>
        </w:rPr>
        <w:t xml:space="preserve">филиала ОАО «Мурманэнергосбыт» «Кандалакшская теплосеть»; </w:t>
      </w:r>
    </w:p>
    <w:p w:rsidR="00F41C89" w:rsidRDefault="00F41C89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1C89">
        <w:rPr>
          <w:rFonts w:ascii="Times New Roman" w:eastAsia="Calibri" w:hAnsi="Times New Roman" w:cs="Times New Roman"/>
          <w:sz w:val="24"/>
          <w:szCs w:val="24"/>
        </w:rPr>
        <w:t xml:space="preserve">Шахтарина Н.К. –  инженер по комплектации и оборудованию филиала </w:t>
      </w:r>
      <w:r w:rsidR="009063D0"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F41C89">
        <w:rPr>
          <w:rFonts w:ascii="Times New Roman" w:eastAsia="Calibri" w:hAnsi="Times New Roman" w:cs="Times New Roman"/>
          <w:sz w:val="24"/>
          <w:szCs w:val="24"/>
        </w:rPr>
        <w:t xml:space="preserve">ОАО «Мурманэнергосбыт» «Кандалакшская теплосеть»; </w:t>
      </w:r>
    </w:p>
    <w:p w:rsidR="00251037" w:rsidRPr="00251037" w:rsidRDefault="00251037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Кемова Л.В. – юрисконсульт </w:t>
      </w:r>
      <w:r w:rsidRPr="00251037">
        <w:rPr>
          <w:rFonts w:ascii="Times New Roman" w:eastAsia="Calibri" w:hAnsi="Times New Roman" w:cs="Times New Roman"/>
          <w:sz w:val="24"/>
          <w:szCs w:val="24"/>
        </w:rPr>
        <w:t xml:space="preserve">филиала ОАО «Мурманэнергосбыт» «Кандалакшская теплосеть»; </w:t>
      </w:r>
    </w:p>
    <w:p w:rsidR="00F41C89" w:rsidRPr="00F41C89" w:rsidRDefault="00F41C89" w:rsidP="00882219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41C89">
        <w:rPr>
          <w:rFonts w:ascii="Times New Roman" w:eastAsia="Calibri" w:hAnsi="Times New Roman" w:cs="Times New Roman"/>
          <w:sz w:val="24"/>
          <w:szCs w:val="24"/>
        </w:rPr>
        <w:t>Шугаипова А.И.- товаровед филиала ОАО «Мурманэнергосбыт» «Кандалакшская теплосеть»;</w:t>
      </w:r>
    </w:p>
    <w:p w:rsidR="001B4839" w:rsidRDefault="001B4839" w:rsidP="00882219">
      <w:pPr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pacing w:after="0" w:line="240" w:lineRule="auto"/>
        <w:ind w:left="284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Представитель Заказчика:</w:t>
      </w:r>
    </w:p>
    <w:p w:rsidR="001B4839" w:rsidRPr="00A07839" w:rsidRDefault="00251037" w:rsidP="00882219">
      <w:pPr>
        <w:tabs>
          <w:tab w:val="num" w:pos="567"/>
          <w:tab w:val="left" w:pos="1134"/>
        </w:tabs>
        <w:spacing w:after="0" w:line="240" w:lineRule="auto"/>
        <w:ind w:left="284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Шарпай А.В.</w:t>
      </w:r>
      <w:r w:rsidR="001B4839" w:rsidRPr="00A07839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 xml:space="preserve"> – </w:t>
      </w:r>
      <w:r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>директор</w:t>
      </w:r>
      <w:r w:rsidR="00F41C89">
        <w:rPr>
          <w:rStyle w:val="a8"/>
          <w:rFonts w:ascii="Times New Roman" w:hAnsi="Times New Roman" w:cs="Times New Roman"/>
          <w:i w:val="0"/>
          <w:color w:val="auto"/>
          <w:sz w:val="24"/>
          <w:szCs w:val="24"/>
        </w:rPr>
        <w:t xml:space="preserve"> филиала</w:t>
      </w:r>
      <w:r w:rsidR="001B4839" w:rsidRPr="00A07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 «Мурманэнергосбыт»</w:t>
      </w:r>
      <w:r w:rsidR="00F41C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«Кандалакшская теплосеть»</w:t>
      </w:r>
      <w:r w:rsidR="00A07839" w:rsidRPr="00A0783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31890" w:rsidRPr="00616854" w:rsidRDefault="00A31890" w:rsidP="00882219">
      <w:pPr>
        <w:numPr>
          <w:ilvl w:val="0"/>
          <w:numId w:val="1"/>
        </w:numPr>
        <w:tabs>
          <w:tab w:val="clear" w:pos="720"/>
          <w:tab w:val="num" w:pos="567"/>
          <w:tab w:val="left" w:pos="1134"/>
        </w:tabs>
        <w:spacing w:after="0" w:line="240" w:lineRule="auto"/>
        <w:ind w:left="284" w:firstLine="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31890" w:rsidRDefault="00F41C89" w:rsidP="00882219">
      <w:pPr>
        <w:pStyle w:val="a5"/>
        <w:tabs>
          <w:tab w:val="num" w:pos="567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Мишустина Л.В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 отдела закупок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филиала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 «Мурманэнергосбыт»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«Кандалакшская теплосеть»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41C89" w:rsidRPr="00616854" w:rsidRDefault="00F41C89" w:rsidP="00882219">
      <w:pPr>
        <w:pStyle w:val="a5"/>
        <w:tabs>
          <w:tab w:val="num" w:pos="567"/>
        </w:tabs>
        <w:spacing w:after="0" w:line="240" w:lineRule="auto"/>
        <w:ind w:left="284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31890" w:rsidRDefault="00A31890" w:rsidP="00882219">
      <w:pPr>
        <w:tabs>
          <w:tab w:val="left" w:pos="851"/>
        </w:tabs>
        <w:spacing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3. </w:t>
      </w:r>
      <w:r w:rsidR="00AB673D" w:rsidRPr="00AB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вскрытия конвертов с заявками, рассмотрения заявок на участие в закупке, оценки, сопоставления и подведения итогов</w:t>
      </w:r>
      <w:r w:rsidR="00AB673D" w:rsidRPr="00626B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проводилась «</w:t>
      </w:r>
      <w:r w:rsidR="0002340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510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51EB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октября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 г. по адресу: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Мурманская обл., г. Кандалакша, ул. Заводская, д.3, (Отдел закупок филиала </w:t>
      </w:r>
      <w:r w:rsidR="00906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ОАО «Мурманэнергосбыт» «Кандалакшская теплосеть»)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начало – 1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часов 00 минут по московскому времени. На момент начала процедуры</w:t>
      </w:r>
      <w:r w:rsidR="009D13A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для участия </w:t>
      </w:r>
      <w:r w:rsidR="0002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984CD4" w:rsidRPr="006168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открытом запросе цен на право заключения </w:t>
      </w:r>
      <w:r w:rsidR="00984CD4" w:rsidRPr="00A3189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договора поставки 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экономайзера стального БВЭС-4-1</w:t>
      </w:r>
      <w:r w:rsidR="00E51EB8" w:rsidRPr="00E51EB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066C0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по тексту – запрос цен)</w:t>
      </w:r>
      <w:r w:rsidR="00984CD4" w:rsidRPr="006168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C2592F" w:rsidRDefault="002A2DAE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A31890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процедуру</w:t>
      </w:r>
      <w:r w:rsidR="00AB673D" w:rsidRPr="00AB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бумажных носителях был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F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AF64C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Шесть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заяв</w:t>
      </w:r>
      <w:r w:rsid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следующ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2A2DAE" w:rsidRPr="002A2DAE" w:rsidRDefault="00F52D0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A2DAE" w:rsidRPr="002A2DA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 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Энергия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Энергия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659321, Алтайский край, г. Бийск, ул. Советская,  д. 199, корпус 1, кв. 56</w:t>
      </w:r>
      <w:r w:rsid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2204060386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220401001</w:t>
      </w:r>
      <w:r w:rsidR="002A2DAE" w:rsidRPr="002A2D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E51EB8" w:rsidRP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1122204005043</w:t>
      </w:r>
      <w:r w:rsidR="007C41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96F72" w:rsidRPr="000F6591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зарегистрирована в журнале регистрации конвертов под номером 1 от 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06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.2015 г. в 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E51EB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E96F72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0F6591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E96F72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0F6591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="00E96F72" w:rsidRPr="000F6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E96F72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B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96F72" w:rsidRPr="00FB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="00FB6665" w:rsidRPr="00FB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750000</w:t>
      </w:r>
      <w:r w:rsidR="00E96F72" w:rsidRPr="00FB66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,00 рублей, в том</w:t>
      </w:r>
      <w:r w:rsidR="00E96F72"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числе НДС.</w:t>
      </w:r>
    </w:p>
    <w:p w:rsidR="004D26BB" w:rsidRPr="00E304FD" w:rsidRDefault="004D26B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D26B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E304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1241AB" w:rsidRPr="00E304F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2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241AB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Закрытое акционерное общество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ПРОИЗВОДСТВЕННАЯ КОМПАНИЯ 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1241AB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ОТЛОСТРОЙ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ПК «КОТЛОСТРОЙ»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119285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Москва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ул. 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Пырьева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 д. 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корпус </w:t>
      </w:r>
      <w:r w:rsidR="00E304FD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ИНН </w:t>
      </w:r>
      <w:r w:rsidR="0027607C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7723812536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27607C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772301001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 11</w:t>
      </w:r>
      <w:r w:rsidR="0027607C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17746737580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4D26BB" w:rsidRPr="0027529A" w:rsidRDefault="004D26B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Заявка зарегистрирована в журнале регистрации конвертов под номером </w:t>
      </w:r>
      <w:r w:rsidR="001241AB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0</w:t>
      </w:r>
      <w:r w:rsidR="001241AB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.10.2015 г. в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27607C"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57</w:t>
      </w: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27607C"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D26BB" w:rsidRDefault="004D26B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Цена Договора, предложенная Участником </w:t>
      </w:r>
      <w:r w:rsidR="0027529A"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797350</w:t>
      </w:r>
      <w:r w:rsidRPr="002752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,00 рублей, в</w:t>
      </w:r>
      <w:r w:rsidRPr="00E96F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 НДС.</w:t>
      </w:r>
    </w:p>
    <w:p w:rsidR="001241AB" w:rsidRDefault="001241AB" w:rsidP="008E79F2">
      <w:pPr>
        <w:tabs>
          <w:tab w:val="left" w:pos="709"/>
          <w:tab w:val="left" w:pos="2268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1241A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3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Котельный завод «Пром</w:t>
      </w:r>
      <w:r w:rsidR="00020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отло</w:t>
      </w:r>
      <w:r w:rsidR="000205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наб»  (ООО КЗ «ПКС»), 656922, Алтайский край, г. Барнаул, ул. Трактовая, д. 70. ИНН 2222823070, КПП 222201001, ОГРН 1142223003460.  </w:t>
      </w:r>
    </w:p>
    <w:p w:rsidR="001241AB" w:rsidRPr="001241AB" w:rsidRDefault="001241A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41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08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.2015 г. в 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 (МСК).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Конверт с заявкой на момент вскрытия был запечатан, его целостность не была нарушена. Все листы заявки пронумерованы. Заявка сшита, и скреплена подписью руководителя и печатью Участника, содержит </w:t>
      </w:r>
      <w:r w:rsidRPr="008E79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8E79F2" w:rsidRPr="008E79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E79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</w:t>
      </w:r>
      <w:r w:rsidR="008E79F2" w:rsidRPr="008E79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241AB" w:rsidRDefault="001241AB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EF39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="008E79F2" w:rsidRPr="00EF39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728</w:t>
      </w:r>
      <w:r w:rsidRPr="00EF39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000,00 руб., в том числе НДС.</w:t>
      </w:r>
      <w:r w:rsidRPr="00124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82219" w:rsidRPr="00882219" w:rsidRDefault="00882219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Заявка № </w:t>
      </w:r>
      <w:r w:rsidR="00540F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Закрытое акционерное общество «ТЭП-Холдинг» (ЗАО «Т</w:t>
      </w:r>
      <w:r w:rsidR="001B328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ЭП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-Холдинг»</w:t>
      </w:r>
      <w:r w:rsidR="00E35B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882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620219, г. Екатеринбург, ул. Первомайская, д. 104/Комсомольская, 46, офис 411/3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D0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ИНН </w:t>
      </w:r>
      <w:r w:rsidR="00D064D4" w:rsidRPr="00D0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6672235597</w:t>
      </w:r>
      <w:r w:rsidRPr="00D0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КПП </w:t>
      </w:r>
      <w:r w:rsidR="00D064D4" w:rsidRPr="00D0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667001001</w:t>
      </w:r>
      <w:r w:rsidRPr="00D0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D064D4" w:rsidRPr="00D0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1076672021777</w:t>
      </w:r>
      <w:r w:rsidRPr="00D064D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882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882219" w:rsidRPr="00882219" w:rsidRDefault="00882219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2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Pr="00882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</w:t>
      </w:r>
      <w:r w:rsidRPr="00882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.10.2015 г. в 14:</w:t>
      </w:r>
      <w:r w:rsidR="00AF570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882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 (МСК).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Общества, содержит </w:t>
      </w:r>
      <w:r w:rsidR="009C3E89" w:rsidRPr="009C3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73</w:t>
      </w:r>
      <w:r w:rsidRPr="009C3E8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листа.</w:t>
      </w:r>
    </w:p>
    <w:p w:rsidR="00882219" w:rsidRDefault="00882219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221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127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</w:t>
      </w:r>
      <w:r w:rsidR="009C3E89" w:rsidRPr="00127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898393</w:t>
      </w:r>
      <w:r w:rsidRPr="00127B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,00 рублей, в том числе НДС.</w:t>
      </w:r>
    </w:p>
    <w:p w:rsidR="00540FC9" w:rsidRDefault="00540FC9" w:rsidP="00540FC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0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40FC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 5</w:t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«Производственно-торговая компания «Теплосфера» (ООО «ПТК «Теплосфера»), 656922, Алтайский край, г. Барнаул, </w:t>
      </w:r>
      <w:r w:rsidR="00906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ул. Попова,  д. 258в.   ИНН 2222809886, КПП 222201001, ОГРН 1132223000051. </w:t>
      </w:r>
    </w:p>
    <w:p w:rsidR="00540FC9" w:rsidRPr="0013004B" w:rsidRDefault="00540FC9" w:rsidP="00540FC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40F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</w:t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.2015 г. в 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</w:t>
      </w:r>
      <w:r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(МСК). 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</w:t>
      </w:r>
      <w:r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Участника, содержит 36 листов.</w:t>
      </w:r>
    </w:p>
    <w:p w:rsidR="00540FC9" w:rsidRDefault="00AF64C3" w:rsidP="00540FC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540FC9"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Цена Договора, предложенная Участником 8</w:t>
      </w:r>
      <w:r w:rsidR="0013004B"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540FC9"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0000 руб., в том числе НДС.</w:t>
      </w:r>
      <w:r w:rsidR="00540FC9" w:rsidRPr="00540F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AF64C3" w:rsidRDefault="00AF64C3" w:rsidP="00540FC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6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Торговый 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ом «Бийский 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авод 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нергетического 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ашиностроения» (ООО ТД «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БЗЭМ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3949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659303, Алтайский край, г. Бийск, ул. Мерлина, д. 61. </w:t>
      </w:r>
      <w:r w:rsidR="0013004B"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22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04070793</w:t>
      </w:r>
      <w:r w:rsidR="0013004B"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КПП 22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0401001</w:t>
      </w:r>
      <w:r w:rsidR="0013004B"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ОГРН 11</w:t>
      </w:r>
      <w:r w:rsid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42204003380</w:t>
      </w:r>
      <w:r w:rsidR="0013004B" w:rsidRPr="001300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C6D4B" w:rsidRPr="001C6D4B" w:rsidRDefault="001C6D4B" w:rsidP="001C6D4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</w: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Заявка зарегистрирована в журнале регистрации конвертов под номером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.10.2015 г. в 1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(МСК).  Конверт с заявкой на момент вскрытия был запечатан, его целостность не была нарушена. Все листы заявки пронумерованы. Заявка сшита, скреплена подписью руководителя и печатью Участника, содержит </w:t>
      </w:r>
      <w:r w:rsidR="00710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</w:t>
      </w: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:rsidR="001C6D4B" w:rsidRPr="00AF64C3" w:rsidRDefault="001C6D4B" w:rsidP="001C6D4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Цена Договора, предложенная Участником </w:t>
      </w:r>
      <w:r w:rsidR="007102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770</w:t>
      </w:r>
      <w:r w:rsidRPr="001C6D4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 руб., в том числе НДС.</w:t>
      </w:r>
    </w:p>
    <w:p w:rsidR="00540FC9" w:rsidRPr="00882219" w:rsidRDefault="00540FC9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0746F" w:rsidRDefault="00D0746F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07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рассмотрела заявк</w:t>
      </w:r>
      <w:r w:rsidR="00743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743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требованиям, указанным в Документации о проведении открытого запроса цен на право заключения договора поставки </w:t>
      </w:r>
      <w:r w:rsidR="007436ED" w:rsidRPr="007436E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экономайзера стального БВЭС-4-1 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Документация)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 соответствие технического предложения требованиям раздела </w:t>
      </w:r>
      <w:r w:rsidR="0073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«Техническое задание» Документации, и приняла </w:t>
      </w:r>
      <w:r w:rsidRPr="00D0746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0746F" w:rsidRDefault="00D0746F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Признать правильность оформления заявки на участие в запросе цен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</w:t>
      </w:r>
      <w:r w:rsidR="0090407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Энергия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и соответствие договорных условий Участника требованиям Документации.</w:t>
      </w:r>
    </w:p>
    <w:p w:rsidR="00B066C0" w:rsidRP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66C0" w:rsidRPr="00B066C0" w:rsidRDefault="00B066C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ООО «</w:t>
      </w:r>
      <w:r w:rsidR="0078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Энергия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на участие в запросе цен соответствующей техническим требованиям Документации.</w:t>
      </w:r>
    </w:p>
    <w:p w:rsidR="00B066C0" w:rsidRP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B066C0" w:rsidRPr="00B066C0" w:rsidRDefault="00B066C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B066C0"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Допустить ООО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785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Энергия</w:t>
      </w:r>
      <w:r w:rsid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к процедуре запроса цен и включить в перечень Участников запроса цен.</w:t>
      </w:r>
    </w:p>
    <w:p w:rsidR="00F26509" w:rsidRPr="00F26509" w:rsidRDefault="00F26509" w:rsidP="00F2650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F2650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F26509" w:rsidRPr="00F26509" w:rsidRDefault="00F26509" w:rsidP="00F2650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2650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3547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35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цен </w:t>
      </w:r>
      <w:r w:rsidR="00906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</w:t>
      </w:r>
      <w:r w:rsidRPr="00213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 Участника требованиям Документации.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3547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заявку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213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13547" w:rsidRPr="00B066C0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3547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Допустить </w:t>
      </w:r>
      <w:r w:rsidRPr="00213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ПК «КОТЛОСТРОЙ»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цен и включить в перечень Участников запроса цен.</w:t>
      </w:r>
    </w:p>
    <w:p w:rsidR="0068797A" w:rsidRP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68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797A" w:rsidRP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13547" w:rsidRDefault="00213547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354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4.3.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13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оформление заявки </w:t>
      </w:r>
      <w:r w:rsidRPr="0021354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КЗ «ПКС»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несоответствующим требования п. 3.2. Документации, а именно</w:t>
      </w:r>
      <w:r w:rsidR="005106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5106CB" w:rsidRDefault="005106CB" w:rsidP="00213547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не представлены копии документов, </w:t>
      </w:r>
      <w:r w:rsidRPr="005106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подтверждающих соответствие Товара требованиям, установленным в соответствии с законодательством РФ (копии сертификатов соответствия, деклараций о соответствии</w:t>
      </w:r>
      <w:r w:rsid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A42CFA" w:rsidRP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копии разрешений на применение, регистрационных удостоверений и т.п</w:t>
      </w:r>
      <w:r w:rsid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), в составе заявки </w:t>
      </w:r>
      <w:r w:rsidR="00965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представлен</w:t>
      </w:r>
      <w:r w:rsid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9657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копи</w:t>
      </w:r>
      <w:r w:rsid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сертификат</w:t>
      </w:r>
      <w:r w:rsid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 соответствия и копия разрешения на применение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продукцию</w:t>
      </w:r>
      <w:r w:rsid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которая не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явля</w:t>
      </w:r>
      <w:r w:rsidR="00A42C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ется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предметом закупки;</w:t>
      </w:r>
    </w:p>
    <w:p w:rsidR="009B2AD0" w:rsidRPr="009B2AD0" w:rsidRDefault="00467EFE" w:rsidP="009B2AD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представлена выписка из единого государственного реестра юридических лиц или нотариально заверенная копия такой выписки </w:t>
      </w:r>
      <w:r w:rsidRPr="009B2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(в составе заявки предоставлена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распечатанная на бумажном носителе </w:t>
      </w:r>
      <w:r w:rsidRPr="009B2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выписка из Единого государственного реестра юридических лиц, полученная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Участником в электронной форме с использованием сервиса </w:t>
      </w:r>
      <w:r w:rsidRPr="009B2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Предоставление сведений из ЕГРЮЛ/ЕГРИП о конкретном юридическом лице/индивидуальном предпринимателе в форме электронного документа»,</w:t>
      </w:r>
      <w:r w:rsidRPr="00D42A2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з</w:t>
      </w:r>
      <w:r w:rsidRPr="009B2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аверенная </w:t>
      </w:r>
      <w:r w:rsidRPr="002B14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уполномоченным лицом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печатью Участника</w:t>
      </w:r>
      <w:r w:rsidRPr="009B2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закупки</w:t>
      </w:r>
      <w:bookmarkStart w:id="9" w:name="_GoBack"/>
      <w:bookmarkEnd w:id="9"/>
      <w:r w:rsidR="009B2AD0" w:rsidRPr="009B2A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68797A" w:rsidRPr="00B066C0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B066C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66C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8797A" w:rsidRP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ab/>
        <w:t>Не д</w:t>
      </w:r>
      <w:r w:rsidRPr="0068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опус</w:t>
      </w:r>
      <w:r w:rsidR="00CF73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тит</w:t>
      </w:r>
      <w:r w:rsidR="0089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ь </w:t>
      </w:r>
      <w:r w:rsidRPr="0068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ООО КЗ «ПКС» к процедуре запроса цен и </w:t>
      </w:r>
      <w:r w:rsidR="0089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68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</w:t>
      </w:r>
      <w:r w:rsidR="008961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68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в перечень Участников запроса цен.</w:t>
      </w:r>
    </w:p>
    <w:p w:rsidR="0068797A" w:rsidRP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79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68797A" w:rsidRPr="0068797A" w:rsidRDefault="0068797A" w:rsidP="0068797A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879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7A50" w:rsidRPr="00287A50" w:rsidRDefault="00F26509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87A50"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цен </w:t>
      </w:r>
      <w:r w:rsidR="00906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</w:t>
      </w:r>
      <w:r w:rsidR="00EF168B"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«ТЭП-Холдинг»</w:t>
      </w:r>
      <w:r w:rsidR="00287A50"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 Участника требованиям Документации.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Признать заявку </w:t>
      </w:r>
      <w:r w:rsidR="00EF168B"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«ТЭП-Холдинг»</w:t>
      </w:r>
      <w:r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Допустить </w:t>
      </w:r>
      <w:r w:rsidR="00EF168B"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«ТЭП-Холдинг»</w:t>
      </w:r>
      <w:r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цен и включить в перечень Участников запроса цен.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287A50" w:rsidRPr="00287A50" w:rsidRDefault="00287A50" w:rsidP="00287A50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87A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цен </w:t>
      </w:r>
      <w:r w:rsidR="009063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</w:t>
      </w:r>
      <w:r w:rsidR="00B72B3C" w:rsidRPr="00B72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«ПТК «Теплосфера»</w:t>
      </w: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соответствие договорных условий Участника требованиям Документации.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Признать заявку </w:t>
      </w:r>
      <w:r w:rsidR="00B72B3C" w:rsidRPr="00B72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«ПТК «Теплосфера»</w:t>
      </w: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участие в запросе цен соответствующей техническим требованиям Документации.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Допустить </w:t>
      </w:r>
      <w:r w:rsidR="00B72B3C" w:rsidRPr="00B72B3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«ПТК «Теплосфера»</w:t>
      </w: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процедуре запроса цен и включить в перечень Участников запроса цен.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EF168B" w:rsidRPr="00EF168B" w:rsidRDefault="00EF168B" w:rsidP="00EF168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F168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51B95" w:rsidRPr="00651B95" w:rsidRDefault="00651B95" w:rsidP="00651B9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оформление заявки ООО ТД «БЗЭМ» несоответствующим требования п. 3.2. Документации, а именно</w:t>
      </w:r>
      <w:r w:rsidR="00172EB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0D047B" w:rsidRDefault="00651B95" w:rsidP="00651B9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представленная в составе заявки копия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свидетельства о постановке на учет в налоговом органе </w:t>
      </w: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не </w:t>
      </w:r>
      <w:r w:rsid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заверена</w:t>
      </w: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112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уполномоченным лицом Участника</w:t>
      </w:r>
      <w:r w:rsid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D047B" w:rsidRPr="000D047B" w:rsidRDefault="000D047B" w:rsidP="000D047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 составе заявки копия свидетельства 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регистрации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не заверена </w:t>
      </w:r>
      <w:r w:rsidR="00112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уполномоченным лицом Участника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D047B" w:rsidRDefault="000D047B" w:rsidP="000D047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представленная в составе заявки копия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Устава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не заверена </w:t>
      </w:r>
      <w:r w:rsidR="001127D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уполномоченным лицом Участника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D047B" w:rsidRDefault="000D047B" w:rsidP="000D047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не представлены в составе заявки копии 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бухгалтерского баланса и отчета о финансовых результатах за 2014 год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0D047B" w:rsidRPr="000D047B" w:rsidRDefault="000D047B" w:rsidP="000D047B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не представлены в составе заявки копии </w:t>
      </w:r>
      <w:r w:rsidRPr="000D04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документов, подтверждающих соответствие Товара требованиям, установленным в соответствии с законодательством РФ (копии сертификатов соответствия, деклараций о соответствии, копии разрешений на применение, регистрационных удостоверений и т.п.)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51B95" w:rsidRPr="00651B95" w:rsidRDefault="00651B95" w:rsidP="00D44FB1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651B95" w:rsidRPr="00651B95" w:rsidRDefault="00651B95" w:rsidP="00651B9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51B95" w:rsidRPr="00651B95" w:rsidRDefault="00651B95" w:rsidP="00651B9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Не допустить ООО ТД «БЗЭМ» к процедуре запроса цен и </w:t>
      </w:r>
      <w:r w:rsidR="0029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</w:t>
      </w: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включ</w:t>
      </w:r>
      <w:r w:rsidR="002927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ть в перечень Участников запроса цен.</w:t>
      </w:r>
    </w:p>
    <w:p w:rsidR="00651B95" w:rsidRPr="00651B95" w:rsidRDefault="00651B95" w:rsidP="00651B9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51B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РЕЗУЛЬТАТЫ ГОЛОСОВАНИЯ: </w:t>
      </w:r>
    </w:p>
    <w:p w:rsidR="00651B95" w:rsidRPr="00651B95" w:rsidRDefault="00651B95" w:rsidP="00651B9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1B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B066C0" w:rsidRDefault="00B066C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="000533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90AA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  запрос цен состоявшимся.</w:t>
      </w:r>
    </w:p>
    <w:p w:rsidR="0096646E" w:rsidRPr="0096646E" w:rsidRDefault="00E031A0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6646E"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96646E" w:rsidRDefault="0096646E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CD8" w:rsidRPr="0096646E" w:rsidRDefault="00A10CD8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927A0" w:rsidRDefault="0096646E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рамках оценочной стадии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соответствии с п. 4.12.1. Документации Комиссией по закупке была произведена оценка зая</w:t>
      </w:r>
      <w:r w:rsid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вок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ООО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Энергия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9927A0" w:rsidRP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 ПК «КОТЛОСТРОЙ»</w:t>
      </w:r>
      <w:r w:rsidR="009927A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ЗАО «ТЭП-Холдинг», ООО «ПТК «Теплосфера»</w:t>
      </w: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 </w:t>
      </w:r>
    </w:p>
    <w:p w:rsidR="0096646E" w:rsidRDefault="009927A0" w:rsidP="00D44FB1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96646E"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цен является цена Договора.</w:t>
      </w:r>
    </w:p>
    <w:p w:rsidR="00A10CD8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="00FD6F94" w:rsidRPr="00FD6F9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основании оценки были определены итоговые места с учетом значимости критерия оценки:</w:t>
      </w:r>
    </w:p>
    <w:p w:rsidR="009F0D2C" w:rsidRPr="009F0D2C" w:rsidRDefault="009F0D2C" w:rsidP="009F0D2C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место - ООО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Энергия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(Цена =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750000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рублей, в том числе НДС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9F0D2C" w:rsidRPr="009F0D2C" w:rsidRDefault="009F0D2C" w:rsidP="009F0D2C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 место - ЗАО ПК «КОТЛОСТРОЙ» (Цена =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797350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рублей, в том числе НДС);</w:t>
      </w:r>
    </w:p>
    <w:p w:rsidR="009F0D2C" w:rsidRPr="009F0D2C" w:rsidRDefault="009F0D2C" w:rsidP="009F0D2C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 место - ООО «ПТК «Теплосфера» (Цена =</w:t>
      </w:r>
      <w:r w:rsidR="006963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850000</w:t>
      </w:r>
      <w:r w:rsid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рублей, в том числе НДС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:rsidR="009F0D2C" w:rsidRDefault="009F0D2C" w:rsidP="009F0D2C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 место - ЗАО «ТЭП-Холдинг»  (Цена = </w:t>
      </w:r>
      <w:r w:rsid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898393</w:t>
      </w:r>
      <w:r w:rsidRPr="009F0D2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рублей, в том числе НДС</w:t>
      </w:r>
      <w:r w:rsid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D778A6" w:rsidRPr="00D778A6" w:rsidRDefault="00D778A6" w:rsidP="00D778A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D778A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778A6" w:rsidRPr="00D778A6" w:rsidRDefault="00D778A6" w:rsidP="00D778A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778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A10CD8" w:rsidRPr="00A10CD8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A10CD8" w:rsidRPr="00A10C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A10CD8" w:rsidRPr="00A10CD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Условия исполнения Договора, указанные в заявке Участника закупки, заявке которого присвоено второе место - ЗАО ПК «КОТЛОСТРОЙ»  (юридический адрес: 119285, г. Москва, ул. Пырьева,  д</w:t>
      </w:r>
      <w:r w:rsid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9, корпус 3</w:t>
      </w:r>
      <w:r w:rsidR="00D44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D44FB1" w:rsidRPr="00D44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D44FB1" w:rsidRPr="00E304F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7723812536, КПП 772301001, ОГРН 1117746737580</w:t>
      </w:r>
      <w:r w:rsidR="00696385" w:rsidRPr="006963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154F3" w:rsidRPr="002154F3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экономайзера стального БВЭС-4-1</w:t>
      </w:r>
      <w:r w:rsidR="00051F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(далее по тексту – Товар).</w:t>
      </w:r>
    </w:p>
    <w:p w:rsidR="002154F3" w:rsidRPr="002154F3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Общее количество поставляемого Товара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: </w:t>
      </w:r>
      <w:r w:rsid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шт.</w:t>
      </w:r>
    </w:p>
    <w:p w:rsidR="002154F3" w:rsidRPr="002154F3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D77C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Начальная (максимальная) цена договора: </w:t>
      </w:r>
      <w:r w:rsid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797350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</w:t>
      </w:r>
      <w:r w:rsid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Семьсот девяносто семь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</w:t>
      </w:r>
      <w:r w:rsid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триста пятьдесят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</w:t>
      </w:r>
      <w:r w:rsid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  <w:r w:rsidR="00B00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00B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</w:t>
      </w:r>
      <w:r w:rsidR="00734F7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том числе НДС.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:rsidR="002154F3" w:rsidRPr="002154F3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 (Сорок) календарных дней с момента осуществления  предоплаты.</w:t>
      </w:r>
    </w:p>
    <w:p w:rsidR="002154F3" w:rsidRPr="002154F3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.5.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Место поставки товара: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4.</w:t>
      </w:r>
    </w:p>
    <w:p w:rsidR="002154F3" w:rsidRPr="002154F3" w:rsidRDefault="00D778A6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Условия оплаты:</w:t>
      </w:r>
      <w:r w:rsid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2154F3" w:rsidRPr="002154F3" w:rsidRDefault="002154F3" w:rsidP="00882219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50%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463C5C" w:rsidRPr="00463C5C" w:rsidRDefault="00D778A6" w:rsidP="00463C5C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63C5C" w:rsidRPr="00463C5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Гарантийные обязательства: </w:t>
      </w:r>
      <w:r w:rsidR="00463C5C" w:rsidRPr="00463C5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Гарантийный срок на Товар устанавливается 12 (Двенадцать) месяцев со дня ввода в эксплуатацию, но не более 24 (Двадцать четыре) месяцев с момента поставки.</w:t>
      </w:r>
    </w:p>
    <w:p w:rsidR="00463C5C" w:rsidRPr="00463C5C" w:rsidRDefault="00463C5C" w:rsidP="00463C5C">
      <w:pPr>
        <w:tabs>
          <w:tab w:val="left" w:pos="425"/>
          <w:tab w:val="left" w:pos="567"/>
          <w:tab w:val="left" w:pos="709"/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463C5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Срок исполнения гарантийных обязательств по устранению недостатков  не может превышать 30 (Тридцать) дней с момента получения Поставщиком уведомления  Покупателя о необходимости устранения выявленных недостатков.</w:t>
      </w:r>
    </w:p>
    <w:p w:rsidR="00463C5C" w:rsidRPr="00463C5C" w:rsidRDefault="00D778A6" w:rsidP="00463C5C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2154F3" w:rsidRPr="005E0A1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.8.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63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Особые условия</w:t>
      </w:r>
      <w:r w:rsidR="002154F3" w:rsidRPr="002154F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463C5C" w:rsidRP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="00463C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154F3" w:rsidRPr="002154F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</w:t>
      </w:r>
      <w:r w:rsidR="00463C5C" w:rsidRPr="00463C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осуществляется транспортабельным блоком в плотной металлической обшивке и изоляции (допустимо разделение на несколько транспортабельных блоков) до склада Покупателя</w:t>
      </w:r>
      <w:r w:rsidR="00463C5C" w:rsidRPr="00463C5C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</w:t>
      </w:r>
    </w:p>
    <w:p w:rsidR="002F6805" w:rsidRPr="0096646E" w:rsidRDefault="002F6805" w:rsidP="002F680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F6805" w:rsidRDefault="002F6805" w:rsidP="002F6805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22568" w:rsidRDefault="00222568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2568" w:rsidRPr="00616854" w:rsidRDefault="00D778A6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225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по закупке было принято решение 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признать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открытого запроса цен на право заключения Договора поставки</w:t>
      </w:r>
      <w:r w:rsid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экономайзера стального БВЭС-4-1 ООО «Энергия» (юридический адрес: 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659321, Алтайский край, г. Бийск, ул. Советская,  д. 199, корпус 1, кв. 56</w:t>
      </w:r>
      <w:r w:rsidR="00D44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="00D44FB1" w:rsidRPr="00D44FB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2204060386, КПП 220401001, ОГРН 1122204005043</w:t>
      </w:r>
      <w:r w:rsid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222568" w:rsidRP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экономайзера стального БВЭС-4-1 (далее по тексту – Товар).</w:t>
      </w:r>
    </w:p>
    <w:p w:rsidR="00222568" w:rsidRP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Общее количество поставляемого Товара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1 шт.</w:t>
      </w:r>
    </w:p>
    <w:p w:rsidR="00222568" w:rsidRP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.3. Начальная (максимальная) цена договора: 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  <w:r w:rsid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5000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 (Семьсот </w:t>
      </w:r>
      <w:r w:rsid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пятьдесят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тысяч) рублей, в том числе НДС.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</w:p>
    <w:p w:rsidR="00222568" w:rsidRP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.4. Срок поставки товара: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40 (Сорок) календарных дней с момента осуществления  предоплаты.</w:t>
      </w:r>
    </w:p>
    <w:p w:rsidR="00222568" w:rsidRP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Мурманская обл., г. Кандалакша, ул. Заводская, д. 4.</w:t>
      </w:r>
    </w:p>
    <w:p w:rsidR="00222568" w:rsidRP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.6. Условия оплаты: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Покупатель осуществляет оплату в размере 50 %  от стоимости Товара на условиях предоплаты в течение 20 (Двадцати) банковских дней с момента получения счета на предоплату от Поставщика; </w:t>
      </w:r>
    </w:p>
    <w:p w:rsidR="00222568" w:rsidRPr="00222568" w:rsidRDefault="00222568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остальные 50% от стоимости Товара, Покупатель оплачивает в течение 20 (Двадцати)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оплату.</w:t>
      </w:r>
    </w:p>
    <w:p w:rsidR="00222568" w:rsidRP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.7. Гарантийные обязательства: 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Гарантийный срок на Товар устанавливается 12 (Двенадцать) месяцев со дня ввода в эксплуатацию, но не более 24 (Двадцать четыре) месяцев с момента поставки.</w:t>
      </w:r>
    </w:p>
    <w:p w:rsidR="00222568" w:rsidRPr="00222568" w:rsidRDefault="00222568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Срок исполнения гарантийных обязательств по устранению недостатков  не может превышать 30 (Тридцать) дней с момента получения Поставщиком уведомления  Покупателя о необходимости устранения выявленных недостатков.</w:t>
      </w:r>
    </w:p>
    <w:p w:rsidR="00222568" w:rsidRDefault="002F6805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Особые условия: 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</w:t>
      </w:r>
      <w:r w:rsidR="00222568" w:rsidRPr="002225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Товар осуществляется транспортабельным блоком в плотной металлической обшивке и изоляции (допустимо разделение на несколько транспортабельных блоков) до склада Покупателя</w:t>
      </w:r>
      <w:r w:rsidR="00222568" w:rsidRPr="00222568">
        <w:rPr>
          <w:rFonts w:ascii="Times New Roman" w:eastAsia="Times New Roman" w:hAnsi="Times New Roman" w:cs="Times New Roman"/>
          <w:bCs/>
          <w:sz w:val="24"/>
          <w:szCs w:val="24"/>
          <w:lang w:val="x-none" w:eastAsia="ru-RU"/>
        </w:rPr>
        <w:t>.</w:t>
      </w:r>
    </w:p>
    <w:p w:rsidR="004A0626" w:rsidRPr="0096646E" w:rsidRDefault="004A0626" w:rsidP="004A062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96646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4A0626" w:rsidRDefault="004A0626" w:rsidP="004A0626">
      <w:pPr>
        <w:tabs>
          <w:tab w:val="left" w:pos="709"/>
        </w:tabs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664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4A0626" w:rsidRPr="004A0626" w:rsidRDefault="004A0626" w:rsidP="00222568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31890" w:rsidRPr="00616854" w:rsidRDefault="00A31890" w:rsidP="00882219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890" w:rsidRDefault="00A31890" w:rsidP="008822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E851E0" w:rsidRPr="00616854" w:rsidRDefault="00E851E0" w:rsidP="008822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9"/>
        <w:tblW w:w="10597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4110"/>
      </w:tblGrid>
      <w:tr w:rsidR="00E851E0" w:rsidTr="00465D91">
        <w:tc>
          <w:tcPr>
            <w:tcW w:w="6487" w:type="dxa"/>
          </w:tcPr>
          <w:p w:rsidR="00E851E0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Председатель Комиссии по закупке</w:t>
            </w:r>
            <w:r w:rsidR="00465D9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E851E0" w:rsidRDefault="00813866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Проснев М.А</w:t>
            </w:r>
          </w:p>
          <w:p w:rsidR="00465D91" w:rsidRPr="00E851E0" w:rsidRDefault="00465D91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Pr="00E851E0" w:rsidRDefault="00734F7B" w:rsidP="00F27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  <w:r w:rsid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</w:p>
        </w:tc>
      </w:tr>
      <w:tr w:rsidR="00E851E0" w:rsidTr="00465D91">
        <w:tc>
          <w:tcPr>
            <w:tcW w:w="6487" w:type="dxa"/>
          </w:tcPr>
          <w:p w:rsidR="00E851E0" w:rsidRPr="00616854" w:rsidRDefault="00E851E0" w:rsidP="0088221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16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Члены </w:t>
            </w:r>
            <w:r w:rsidRPr="00616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Комиссии по закупке</w:t>
            </w:r>
            <w:r w:rsidRPr="0061685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:rsidR="00E851E0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Default="00813866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Моисеев М.А.</w:t>
            </w:r>
          </w:p>
          <w:p w:rsidR="00E851E0" w:rsidRPr="00E851E0" w:rsidRDefault="00E851E0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</w:t>
            </w: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Default="00813866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Шахтарина Н.К</w:t>
            </w:r>
          </w:p>
          <w:p w:rsidR="00E851E0" w:rsidRPr="00E851E0" w:rsidRDefault="00E851E0" w:rsidP="0088221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34F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Pr="00734F7B" w:rsidRDefault="00E851E0" w:rsidP="00F27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Pr="00E851E0" w:rsidRDefault="00813866" w:rsidP="0088221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Кемова Л.В.</w:t>
            </w:r>
          </w:p>
          <w:p w:rsidR="00E851E0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RPr="00D44FB1" w:rsidTr="00465D91">
        <w:tc>
          <w:tcPr>
            <w:tcW w:w="6487" w:type="dxa"/>
          </w:tcPr>
          <w:p w:rsidR="00E851E0" w:rsidRPr="00D44FB1" w:rsidRDefault="00813866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44FB1">
              <w:rPr>
                <w:rFonts w:ascii="Times New Roman" w:eastAsia="Calibri" w:hAnsi="Times New Roman" w:cs="Times New Roman"/>
                <w:sz w:val="24"/>
                <w:szCs w:val="24"/>
              </w:rPr>
              <w:t>Шугаипова А.И.</w:t>
            </w:r>
          </w:p>
          <w:p w:rsidR="00E851E0" w:rsidRPr="00D44FB1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:rsidR="00E851E0" w:rsidRPr="00D44FB1" w:rsidRDefault="00734F7B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44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E851E0" w:rsidRPr="00D44FB1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851E0" w:rsidTr="00465D91">
        <w:tc>
          <w:tcPr>
            <w:tcW w:w="6487" w:type="dxa"/>
          </w:tcPr>
          <w:p w:rsidR="00E851E0" w:rsidRPr="00D44FB1" w:rsidRDefault="00E851E0" w:rsidP="00882219">
            <w:pPr>
              <w:tabs>
                <w:tab w:val="left" w:pos="1134"/>
              </w:tabs>
              <w:contextualSpacing/>
              <w:outlineLvl w:val="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44FB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Представитель Заказчика:</w:t>
            </w:r>
          </w:p>
          <w:p w:rsidR="00E851E0" w:rsidRDefault="00D44FB1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Шарпай А.В.</w:t>
            </w:r>
          </w:p>
          <w:p w:rsidR="00D44FB1" w:rsidRPr="00D44FB1" w:rsidRDefault="00D44FB1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E851E0" w:rsidRPr="00D44FB1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Pr="00734F7B" w:rsidRDefault="00E851E0" w:rsidP="00F2748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4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  <w:tr w:rsidR="00E851E0" w:rsidTr="00465D91">
        <w:tc>
          <w:tcPr>
            <w:tcW w:w="6487" w:type="dxa"/>
          </w:tcPr>
          <w:p w:rsidR="00E851E0" w:rsidRPr="00616854" w:rsidRDefault="00E851E0" w:rsidP="0088221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1685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E851E0" w:rsidRPr="00E851E0" w:rsidRDefault="00E851E0" w:rsidP="00882219">
            <w:pPr>
              <w:ind w:right="-285"/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Мишустина Л.В.</w:t>
            </w:r>
          </w:p>
        </w:tc>
        <w:tc>
          <w:tcPr>
            <w:tcW w:w="4110" w:type="dxa"/>
          </w:tcPr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851E0" w:rsidRDefault="00E851E0" w:rsidP="00F2748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51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</w:tc>
      </w:tr>
    </w:tbl>
    <w:p w:rsidR="00A31890" w:rsidRPr="00616854" w:rsidRDefault="00A31890" w:rsidP="00882219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31890" w:rsidRPr="00616854" w:rsidRDefault="00A31890" w:rsidP="00616854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45F9B" w:rsidRDefault="00A45F9B" w:rsidP="00616854">
      <w:pPr>
        <w:tabs>
          <w:tab w:val="left" w:pos="1134"/>
        </w:tabs>
        <w:spacing w:after="0" w:line="240" w:lineRule="auto"/>
        <w:ind w:left="284"/>
        <w:contextualSpacing/>
        <w:jc w:val="both"/>
        <w:outlineLvl w:val="0"/>
        <w:rPr>
          <w:rFonts w:ascii="Times New Roman" w:hAnsi="Times New Roman" w:cs="Times New Roman"/>
          <w:b/>
          <w:iCs/>
          <w:sz w:val="24"/>
          <w:szCs w:val="24"/>
        </w:rPr>
      </w:pPr>
    </w:p>
    <w:p w:rsidR="008114B7" w:rsidRPr="00616854" w:rsidRDefault="008114B7" w:rsidP="00616854">
      <w:pPr>
        <w:ind w:left="284"/>
        <w:jc w:val="both"/>
        <w:rPr>
          <w:sz w:val="24"/>
          <w:szCs w:val="24"/>
        </w:rPr>
      </w:pPr>
    </w:p>
    <w:sectPr w:rsidR="008114B7" w:rsidRPr="00616854" w:rsidSect="009F0B5E">
      <w:headerReference w:type="default" r:id="rId8"/>
      <w:footerReference w:type="default" r:id="rId9"/>
      <w:pgSz w:w="11906" w:h="16838"/>
      <w:pgMar w:top="1134" w:right="851" w:bottom="851" w:left="1134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ABE" w:rsidRDefault="008471B7">
      <w:pPr>
        <w:spacing w:after="0" w:line="240" w:lineRule="auto"/>
      </w:pPr>
      <w:r>
        <w:separator/>
      </w:r>
    </w:p>
  </w:endnote>
  <w:endnote w:type="continuationSeparator" w:id="0">
    <w:p w:rsidR="00FB4ABE" w:rsidRDefault="008471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39" w:rsidRDefault="00CF579B">
    <w:pPr>
      <w:pStyle w:val="a3"/>
      <w:jc w:val="center"/>
    </w:pPr>
  </w:p>
  <w:p w:rsidR="00EA4839" w:rsidRDefault="00CF579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ABE" w:rsidRDefault="008471B7">
      <w:pPr>
        <w:spacing w:after="0" w:line="240" w:lineRule="auto"/>
      </w:pPr>
      <w:r>
        <w:separator/>
      </w:r>
    </w:p>
  </w:footnote>
  <w:footnote w:type="continuationSeparator" w:id="0">
    <w:p w:rsidR="00FB4ABE" w:rsidRDefault="008471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EA4839" w:rsidRDefault="002F1D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579B">
          <w:rPr>
            <w:noProof/>
          </w:rPr>
          <w:t>6</w:t>
        </w:r>
        <w:r>
          <w:fldChar w:fldCharType="end"/>
        </w:r>
      </w:p>
    </w:sdtContent>
  </w:sdt>
  <w:p w:rsidR="00EA4839" w:rsidRDefault="00CF57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6795"/>
    <w:multiLevelType w:val="hybridMultilevel"/>
    <w:tmpl w:val="353A6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24673CE7"/>
    <w:multiLevelType w:val="hybridMultilevel"/>
    <w:tmpl w:val="46BAE4C6"/>
    <w:lvl w:ilvl="0" w:tplc="C6A657E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53604219"/>
    <w:multiLevelType w:val="hybridMultilevel"/>
    <w:tmpl w:val="D360C8E8"/>
    <w:lvl w:ilvl="0" w:tplc="6574875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795B7623"/>
    <w:multiLevelType w:val="hybridMultilevel"/>
    <w:tmpl w:val="5AA618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0"/>
    <w:rsid w:val="00020514"/>
    <w:rsid w:val="00021076"/>
    <w:rsid w:val="00021D98"/>
    <w:rsid w:val="00023400"/>
    <w:rsid w:val="00051F39"/>
    <w:rsid w:val="0005338B"/>
    <w:rsid w:val="000710DB"/>
    <w:rsid w:val="000A3C19"/>
    <w:rsid w:val="000D047B"/>
    <w:rsid w:val="000F6591"/>
    <w:rsid w:val="001127D6"/>
    <w:rsid w:val="001241AB"/>
    <w:rsid w:val="00127B7A"/>
    <w:rsid w:val="0013004B"/>
    <w:rsid w:val="00172EBC"/>
    <w:rsid w:val="001B328F"/>
    <w:rsid w:val="001B4839"/>
    <w:rsid w:val="001C6D4B"/>
    <w:rsid w:val="001E5F73"/>
    <w:rsid w:val="00213547"/>
    <w:rsid w:val="002154F3"/>
    <w:rsid w:val="00222568"/>
    <w:rsid w:val="00251037"/>
    <w:rsid w:val="0027529A"/>
    <w:rsid w:val="0027607C"/>
    <w:rsid w:val="00287A50"/>
    <w:rsid w:val="002927BD"/>
    <w:rsid w:val="002A2DAE"/>
    <w:rsid w:val="002A57FB"/>
    <w:rsid w:val="002B146D"/>
    <w:rsid w:val="002F1D8E"/>
    <w:rsid w:val="002F6805"/>
    <w:rsid w:val="00354963"/>
    <w:rsid w:val="0039490E"/>
    <w:rsid w:val="00404640"/>
    <w:rsid w:val="00415AA1"/>
    <w:rsid w:val="00463C5C"/>
    <w:rsid w:val="00465D91"/>
    <w:rsid w:val="00467EFE"/>
    <w:rsid w:val="00493269"/>
    <w:rsid w:val="004A0626"/>
    <w:rsid w:val="004D26BB"/>
    <w:rsid w:val="005106CB"/>
    <w:rsid w:val="00540FC9"/>
    <w:rsid w:val="005E0A10"/>
    <w:rsid w:val="00616854"/>
    <w:rsid w:val="00651B95"/>
    <w:rsid w:val="006549B2"/>
    <w:rsid w:val="00661ADA"/>
    <w:rsid w:val="0068797A"/>
    <w:rsid w:val="00696385"/>
    <w:rsid w:val="006A29E1"/>
    <w:rsid w:val="00700EA7"/>
    <w:rsid w:val="00704628"/>
    <w:rsid w:val="00710228"/>
    <w:rsid w:val="00720BBD"/>
    <w:rsid w:val="00734F7B"/>
    <w:rsid w:val="007436ED"/>
    <w:rsid w:val="00745E48"/>
    <w:rsid w:val="007579EE"/>
    <w:rsid w:val="00784444"/>
    <w:rsid w:val="007854F2"/>
    <w:rsid w:val="007B7C36"/>
    <w:rsid w:val="007C418B"/>
    <w:rsid w:val="008114B7"/>
    <w:rsid w:val="00813866"/>
    <w:rsid w:val="008471B7"/>
    <w:rsid w:val="00882219"/>
    <w:rsid w:val="00890AA5"/>
    <w:rsid w:val="008961A5"/>
    <w:rsid w:val="008E79F2"/>
    <w:rsid w:val="00904072"/>
    <w:rsid w:val="009063D0"/>
    <w:rsid w:val="009657CC"/>
    <w:rsid w:val="0096646E"/>
    <w:rsid w:val="00984CD4"/>
    <w:rsid w:val="009927A0"/>
    <w:rsid w:val="009B2AD0"/>
    <w:rsid w:val="009C3E89"/>
    <w:rsid w:val="009D13AC"/>
    <w:rsid w:val="009E1617"/>
    <w:rsid w:val="009E64FF"/>
    <w:rsid w:val="009F0B5E"/>
    <w:rsid w:val="009F0D2C"/>
    <w:rsid w:val="00A07839"/>
    <w:rsid w:val="00A10CD8"/>
    <w:rsid w:val="00A31890"/>
    <w:rsid w:val="00A42CFA"/>
    <w:rsid w:val="00A45F9B"/>
    <w:rsid w:val="00A55C87"/>
    <w:rsid w:val="00A55D7D"/>
    <w:rsid w:val="00A856D6"/>
    <w:rsid w:val="00AB5BAC"/>
    <w:rsid w:val="00AB673D"/>
    <w:rsid w:val="00AF5708"/>
    <w:rsid w:val="00AF64C3"/>
    <w:rsid w:val="00B00B15"/>
    <w:rsid w:val="00B066C0"/>
    <w:rsid w:val="00B62A2D"/>
    <w:rsid w:val="00B72B3C"/>
    <w:rsid w:val="00B924C5"/>
    <w:rsid w:val="00BC25CE"/>
    <w:rsid w:val="00C11725"/>
    <w:rsid w:val="00C2592F"/>
    <w:rsid w:val="00CF579B"/>
    <w:rsid w:val="00CF7384"/>
    <w:rsid w:val="00D064D4"/>
    <w:rsid w:val="00D0746F"/>
    <w:rsid w:val="00D171F1"/>
    <w:rsid w:val="00D42A23"/>
    <w:rsid w:val="00D44FB1"/>
    <w:rsid w:val="00D75AD6"/>
    <w:rsid w:val="00D778A6"/>
    <w:rsid w:val="00D77C94"/>
    <w:rsid w:val="00D85E6F"/>
    <w:rsid w:val="00DA0EBB"/>
    <w:rsid w:val="00DA309F"/>
    <w:rsid w:val="00DC228A"/>
    <w:rsid w:val="00DD5D45"/>
    <w:rsid w:val="00E031A0"/>
    <w:rsid w:val="00E304FD"/>
    <w:rsid w:val="00E35B2E"/>
    <w:rsid w:val="00E46133"/>
    <w:rsid w:val="00E51EB8"/>
    <w:rsid w:val="00E60190"/>
    <w:rsid w:val="00E851E0"/>
    <w:rsid w:val="00E96F72"/>
    <w:rsid w:val="00EF168B"/>
    <w:rsid w:val="00EF3988"/>
    <w:rsid w:val="00F26509"/>
    <w:rsid w:val="00F27483"/>
    <w:rsid w:val="00F3611E"/>
    <w:rsid w:val="00F36D87"/>
    <w:rsid w:val="00F41C89"/>
    <w:rsid w:val="00F52D0B"/>
    <w:rsid w:val="00F64F48"/>
    <w:rsid w:val="00F951C2"/>
    <w:rsid w:val="00FB45FF"/>
    <w:rsid w:val="00FB4ABE"/>
    <w:rsid w:val="00FB6665"/>
    <w:rsid w:val="00FD6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E8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7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C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  <w:style w:type="table" w:styleId="a9">
    <w:name w:val="Table Grid"/>
    <w:basedOn w:val="a1"/>
    <w:uiPriority w:val="59"/>
    <w:rsid w:val="00E85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D77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77C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2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8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2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2517</Words>
  <Characters>14353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Светлана Вас. Гикалик</cp:lastModifiedBy>
  <cp:revision>11</cp:revision>
  <cp:lastPrinted>2015-10-21T13:33:00Z</cp:lastPrinted>
  <dcterms:created xsi:type="dcterms:W3CDTF">2015-10-21T12:02:00Z</dcterms:created>
  <dcterms:modified xsi:type="dcterms:W3CDTF">2015-10-21T13:34:00Z</dcterms:modified>
</cp:coreProperties>
</file>