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9A50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кремов специального назначения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 кремов специального назначения</w:t>
      </w:r>
      <w:r w:rsidR="00803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ar-SA"/>
        </w:rPr>
        <w:t>23600 единиц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A50B6" w:rsidRPr="002D6532" w:rsidRDefault="002F75B2" w:rsidP="009A50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9A50B6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2 114 383 (Два миллиона сто четырнадцать тысяч триста восемьдесят три) рубля 00 копеек.</w:t>
      </w:r>
    </w:p>
    <w:p w:rsidR="009A50B6" w:rsidRPr="002D6532" w:rsidRDefault="009A50B6" w:rsidP="009A5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2F75B2" w:rsidRPr="009A50B6" w:rsidRDefault="002F75B2" w:rsidP="009A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9A50B6" w:rsidRPr="002D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(десяти) календарных дней с момента осуществления предоплаты по </w:t>
      </w:r>
      <w:r w:rsidR="009A50B6" w:rsidRPr="002D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9A50B6" w:rsidRPr="002D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Заказчика. Заявки направляются по 30 ноября 2015 года.</w:t>
      </w:r>
    </w:p>
    <w:p w:rsidR="001B628D" w:rsidRDefault="002F75B2" w:rsidP="003102E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Промышленная,</w:t>
      </w:r>
      <w:r w:rsidR="009A50B6" w:rsidRPr="002D6532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9A50B6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865DE" w:rsidRDefault="003865DE" w:rsidP="003102E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осуществляет оплату в размере 100% от стоимости Товара по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заявке</w:t>
      </w: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условиях предоплаты в течение 10 (Десяти) банковских дней с момента получения счета на предоплату от Поставщика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865DE" w:rsidRDefault="003865DE" w:rsidP="003102EC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50B6" w:rsidRDefault="009A50B6" w:rsidP="00AA130D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232EFF" w:rsidRP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материально-технического обеспечения службы закупок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9A50B6" w:rsidRPr="00E269F9" w:rsidRDefault="009A50B6" w:rsidP="009A50B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232EFF" w:rsidRP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отдела материально-технического отдела 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C94F71" w:rsidRPr="009A50B6" w:rsidRDefault="00C94F71" w:rsidP="003865DE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00F" w:rsidRPr="001A000F" w:rsidRDefault="001A000F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1A000F" w:rsidRPr="001A000F" w:rsidRDefault="001A000F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0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 – экономист отдела материально-технического обеспечения службы закупок ОАО «Мурманэнергосбыт» - в связи с временной нетрудоспособностью.</w:t>
      </w:r>
    </w:p>
    <w:p w:rsidR="001A000F" w:rsidRDefault="001A000F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Необходимый кворум набран. В соответствии с п.3 «Положения о Комиссии по закупкам товаров, выполнению работ, оказанию услуг ОАО </w:t>
      </w:r>
      <w:r w:rsidRPr="001A0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«Мурманэнергосбыт» Комиссия по закупке правомочна проводить свои заседания при наличии не менее половины её состава.</w:t>
      </w:r>
    </w:p>
    <w:p w:rsidR="003865DE" w:rsidRPr="001A000F" w:rsidRDefault="003865DE" w:rsidP="001A000F">
      <w:pPr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поставки кремов специального назначения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C8E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7D5C4F" w:rsidRPr="00645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41C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C80" w:rsidRPr="00E81D75" w:rsidRDefault="00957323" w:rsidP="00A70C8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0C8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A70C8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70C80" w:rsidRPr="00E81D75">
        <w:rPr>
          <w:rFonts w:ascii="Times New Roman" w:hAnsi="Times New Roman" w:cs="Times New Roman"/>
          <w:sz w:val="28"/>
          <w:szCs w:val="28"/>
        </w:rPr>
        <w:t>ООО «4С»,</w:t>
      </w:r>
      <w:r w:rsidR="00A70C80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0C80" w:rsidRPr="00E81D75">
        <w:rPr>
          <w:rFonts w:ascii="Times New Roman" w:hAnsi="Times New Roman" w:cs="Times New Roman"/>
          <w:sz w:val="28"/>
          <w:szCs w:val="28"/>
        </w:rPr>
        <w:t>610004, г. Киров, ул. Ленина, д. 2.</w:t>
      </w:r>
      <w:r w:rsidR="00A70C80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70C80" w:rsidRPr="00E81D75">
        <w:rPr>
          <w:rFonts w:ascii="Times New Roman" w:hAnsi="Times New Roman" w:cs="Times New Roman"/>
          <w:sz w:val="28"/>
          <w:szCs w:val="28"/>
        </w:rPr>
        <w:t>ИНН 4345316588, КПП 434501001, ОГРН 1114345044560.</w:t>
      </w:r>
    </w:p>
    <w:p w:rsidR="00645CD2" w:rsidRPr="00284782" w:rsidRDefault="00A70C80" w:rsidP="0028478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19.02.2015 г. в 10 часов 10 минут по московскому времени.</w:t>
      </w:r>
    </w:p>
    <w:p w:rsidR="00957323" w:rsidRPr="009A50B6" w:rsidRDefault="00645CD2" w:rsidP="00645C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F3747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D62C63" w:rsidRPr="00D62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D62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099 928,00 рубл</w:t>
      </w:r>
      <w:r w:rsidR="00154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</w:p>
    <w:p w:rsidR="0094275F" w:rsidRPr="003B7824" w:rsidRDefault="00957323" w:rsidP="0094275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55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0D55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4275F" w:rsidRPr="003B7824">
        <w:rPr>
          <w:rFonts w:ascii="Times New Roman" w:hAnsi="Times New Roman" w:cs="Times New Roman"/>
          <w:sz w:val="28"/>
          <w:szCs w:val="28"/>
        </w:rPr>
        <w:t>ООО «Эко-Пром»,</w:t>
      </w:r>
      <w:r w:rsidR="0094275F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4275F" w:rsidRPr="003B7824">
        <w:rPr>
          <w:rFonts w:ascii="Times New Roman" w:hAnsi="Times New Roman" w:cs="Times New Roman"/>
          <w:sz w:val="28"/>
          <w:szCs w:val="28"/>
        </w:rPr>
        <w:t>129223, г. Москва, Территория ВВЦ, стр. 251</w:t>
      </w:r>
      <w:r w:rsidR="00790614">
        <w:rPr>
          <w:rFonts w:ascii="Times New Roman" w:hAnsi="Times New Roman" w:cs="Times New Roman"/>
          <w:sz w:val="28"/>
          <w:szCs w:val="28"/>
        </w:rPr>
        <w:t>.</w:t>
      </w:r>
      <w:r w:rsidR="0094275F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4275F" w:rsidRPr="003B7824">
        <w:rPr>
          <w:rFonts w:ascii="Times New Roman" w:hAnsi="Times New Roman" w:cs="Times New Roman"/>
          <w:sz w:val="28"/>
          <w:szCs w:val="28"/>
        </w:rPr>
        <w:t>ИНН </w:t>
      </w:r>
      <w:r w:rsidR="0094275F" w:rsidRPr="003B7824">
        <w:rPr>
          <w:rFonts w:ascii="Times New Roman" w:hAnsi="Times New Roman" w:cs="Times New Roman"/>
          <w:color w:val="222222"/>
          <w:sz w:val="28"/>
          <w:szCs w:val="28"/>
        </w:rPr>
        <w:t>7717587804</w:t>
      </w:r>
      <w:r w:rsidR="0094275F" w:rsidRPr="003B7824">
        <w:rPr>
          <w:rFonts w:ascii="Times New Roman" w:hAnsi="Times New Roman" w:cs="Times New Roman"/>
          <w:sz w:val="28"/>
          <w:szCs w:val="28"/>
        </w:rPr>
        <w:t>, КПП 771701001, ОГРН </w:t>
      </w:r>
      <w:r w:rsidR="0094275F" w:rsidRPr="003B7824">
        <w:rPr>
          <w:rFonts w:ascii="Times New Roman" w:hAnsi="Times New Roman" w:cs="Times New Roman"/>
          <w:color w:val="222222"/>
          <w:sz w:val="28"/>
          <w:szCs w:val="28"/>
        </w:rPr>
        <w:t>5077746710003</w:t>
      </w:r>
      <w:r w:rsidR="0094275F" w:rsidRPr="003B7824">
        <w:rPr>
          <w:rFonts w:ascii="Times New Roman" w:hAnsi="Times New Roman" w:cs="Times New Roman"/>
          <w:sz w:val="28"/>
          <w:szCs w:val="28"/>
        </w:rPr>
        <w:t>.</w:t>
      </w:r>
    </w:p>
    <w:p w:rsidR="0094275F" w:rsidRPr="003B7824" w:rsidRDefault="0094275F" w:rsidP="0094275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7824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20.02.2015 г. в 11 часов 47 минут по московскому времени. </w:t>
      </w:r>
    </w:p>
    <w:p w:rsidR="00957323" w:rsidRPr="00284782" w:rsidRDefault="00645CD2" w:rsidP="009573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D62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1 477 655,00 рублей, в том числе НДС.</w:t>
      </w:r>
    </w:p>
    <w:p w:rsidR="00645CD2" w:rsidRPr="003D4BDB" w:rsidRDefault="00957323" w:rsidP="00645C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5CD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645CD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45CD2" w:rsidRPr="003D4B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645CD2" w:rsidRPr="003D4BDB">
        <w:rPr>
          <w:rFonts w:ascii="Times New Roman" w:hAnsi="Times New Roman" w:cs="Times New Roman"/>
          <w:sz w:val="28"/>
          <w:szCs w:val="28"/>
        </w:rPr>
        <w:t> «Карелия-Восток-Сервис»,</w:t>
      </w:r>
      <w:r w:rsidR="00645CD2" w:rsidRPr="003D4B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5CD2" w:rsidRPr="003D4BDB">
        <w:rPr>
          <w:rFonts w:ascii="Times New Roman" w:hAnsi="Times New Roman" w:cs="Times New Roman"/>
          <w:sz w:val="28"/>
          <w:szCs w:val="28"/>
        </w:rPr>
        <w:t>185031, РК, г. Петрозаводск, ул. Заводская, д. 4.</w:t>
      </w:r>
      <w:r w:rsidR="00645CD2" w:rsidRPr="003D4BDB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645CD2" w:rsidRPr="003D4BDB">
        <w:rPr>
          <w:rFonts w:ascii="Times New Roman" w:hAnsi="Times New Roman" w:cs="Times New Roman"/>
          <w:sz w:val="28"/>
          <w:szCs w:val="28"/>
        </w:rPr>
        <w:t>ИНН 1001010067, КПП 100101001, ОГРН 1021000518660.</w:t>
      </w:r>
    </w:p>
    <w:p w:rsidR="00645CD2" w:rsidRPr="003D4BDB" w:rsidRDefault="00645CD2" w:rsidP="00645CD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4BDB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3 от</w:t>
      </w:r>
      <w:r w:rsidRPr="003D4BDB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D362BE">
        <w:rPr>
          <w:rFonts w:ascii="Times New Roman" w:hAnsi="Times New Roman" w:cs="Times New Roman"/>
          <w:sz w:val="28"/>
          <w:szCs w:val="28"/>
        </w:rPr>
        <w:t>24.02.2015 г. в 08</w:t>
      </w:r>
      <w:r w:rsidRPr="003D4BDB">
        <w:rPr>
          <w:rFonts w:ascii="Times New Roman" w:hAnsi="Times New Roman" w:cs="Times New Roman"/>
          <w:sz w:val="28"/>
          <w:szCs w:val="28"/>
        </w:rPr>
        <w:t xml:space="preserve"> часов 31 минуту по московскому времени. </w:t>
      </w:r>
    </w:p>
    <w:p w:rsidR="00645CD2" w:rsidRDefault="00645CD2" w:rsidP="00645C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D62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84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295 050,00 рублей, в том числе НДС.</w:t>
      </w:r>
    </w:p>
    <w:p w:rsidR="00D62C63" w:rsidRDefault="00D62C63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4F71" w:rsidRDefault="00531F57" w:rsidP="00D62C6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кремов специального назначения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57055" w:rsidRPr="00E57055" w:rsidRDefault="00F604A2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57055" w:rsidRPr="00E57055">
        <w:rPr>
          <w:rFonts w:ascii="Times New Roman" w:hAnsi="Times New Roman" w:cs="Times New Roman"/>
          <w:sz w:val="28"/>
          <w:szCs w:val="28"/>
        </w:rPr>
        <w:t>ООО «4С» и соответствие договорных условий, предложенных Участником закупки, требованиям Документации.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Pr="00E57055">
        <w:rPr>
          <w:rFonts w:ascii="Times New Roman" w:hAnsi="Times New Roman" w:cs="Times New Roman"/>
          <w:sz w:val="28"/>
          <w:szCs w:val="28"/>
        </w:rPr>
        <w:t xml:space="preserve">ООО «4С»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57055" w:rsidRPr="00E57055" w:rsidRDefault="00E57055" w:rsidP="00E5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E57055">
        <w:rPr>
          <w:rFonts w:ascii="Times New Roman" w:hAnsi="Times New Roman" w:cs="Times New Roman"/>
          <w:sz w:val="28"/>
          <w:szCs w:val="28"/>
        </w:rPr>
        <w:t>ООО «4С»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9470EF" w:rsidRDefault="009648A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307F0C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9470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9470EF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9470E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9470E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1D06D6" w:rsidRPr="009470EF">
        <w:rPr>
          <w:rFonts w:ascii="Times New Roman" w:hAnsi="Times New Roman" w:cs="Times New Roman"/>
          <w:sz w:val="28"/>
          <w:szCs w:val="28"/>
        </w:rPr>
        <w:t>ООО «Эко-Про</w:t>
      </w:r>
      <w:r w:rsidR="00C01263">
        <w:rPr>
          <w:rFonts w:ascii="Times New Roman" w:hAnsi="Times New Roman" w:cs="Times New Roman"/>
          <w:sz w:val="28"/>
          <w:szCs w:val="28"/>
        </w:rPr>
        <w:t>м</w:t>
      </w:r>
      <w:r w:rsidR="007013CF" w:rsidRPr="009470EF">
        <w:rPr>
          <w:rFonts w:ascii="Times New Roman" w:hAnsi="Times New Roman" w:cs="Times New Roman"/>
          <w:sz w:val="28"/>
          <w:szCs w:val="28"/>
        </w:rPr>
        <w:t>»</w:t>
      </w:r>
      <w:r w:rsidR="002F75B2" w:rsidRPr="009470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9470EF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9470EF">
        <w:rPr>
          <w:rFonts w:ascii="Times New Roman" w:hAnsi="Times New Roman" w:cs="Times New Roman"/>
          <w:sz w:val="28"/>
          <w:szCs w:val="28"/>
        </w:rPr>
        <w:t xml:space="preserve">требованиям </w:t>
      </w:r>
      <w:r w:rsidR="0086233C" w:rsidRPr="0086233C">
        <w:rPr>
          <w:rFonts w:ascii="Times New Roman" w:hAnsi="Times New Roman" w:cs="Times New Roman"/>
          <w:bCs/>
          <w:sz w:val="28"/>
          <w:szCs w:val="28"/>
        </w:rPr>
        <w:t>п. 3.2.</w:t>
      </w:r>
      <w:r w:rsidR="008623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75B2" w:rsidRPr="009470EF">
        <w:rPr>
          <w:rFonts w:ascii="Times New Roman" w:hAnsi="Times New Roman" w:cs="Times New Roman"/>
          <w:sz w:val="28"/>
          <w:szCs w:val="28"/>
        </w:rPr>
        <w:t>Документации</w:t>
      </w:r>
      <w:r w:rsidR="001C2091" w:rsidRPr="009470EF">
        <w:rPr>
          <w:rFonts w:ascii="Times New Roman" w:hAnsi="Times New Roman" w:cs="Times New Roman"/>
          <w:sz w:val="28"/>
          <w:szCs w:val="28"/>
        </w:rPr>
        <w:t>:</w:t>
      </w:r>
    </w:p>
    <w:p w:rsidR="009470EF" w:rsidRDefault="009470EF" w:rsidP="009470E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B1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Устава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заверена уполномоченным лицом Участника закупки, а не нотариально;</w:t>
      </w:r>
    </w:p>
    <w:p w:rsidR="00253B6A" w:rsidRDefault="00623DE8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-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предоставлен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бухгалтерские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баланс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 марта 2014 годя, 30 июня 2014 года,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сентября 2014 года,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заверенные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</w:t>
      </w:r>
      <w:r w:rsidR="00282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При этом, официальное письмо, подтверждающее информацию о непредставлении в налоговую инспекцию бухгалтерского баланса за 2014 год, а также копии бухгалтерского баланса и  отчета о финансовых результатах (отчета о прибылях и убытках) за 2013 год, поданны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установленном порядке в налоговую инспекцию по месту регистрации Участника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отметкой о приеме, подписанные уполномоченным лицом Участника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предоставлены. </w:t>
      </w:r>
    </w:p>
    <w:p w:rsidR="002C34C0" w:rsidRDefault="002C34C0" w:rsidP="002C3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-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 заявки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входят</w:t>
      </w:r>
      <w:r w:rsidRPr="00FB4574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 w:rsidRPr="00FB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документов, подтвержда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ющие соответствие продукции требованиям, установленны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</w:t>
      </w:r>
      <w:r w:rsidRPr="00FB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законодательством РФ (копии сертификатов соответствия ГОСТам</w:t>
      </w:r>
      <w:r w:rsidR="006E1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указанным в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Разделе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«Техническое задание»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которые не заверены </w:t>
      </w:r>
      <w:r w:rsidRPr="00FB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уполномоченным лицом Участника</w:t>
      </w:r>
      <w:r w:rsidR="00282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C34C0" w:rsidRPr="00623DE8" w:rsidRDefault="002C34C0" w:rsidP="00A83F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2A91" w:rsidRPr="00623DE8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623DE8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623DE8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623DE8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опустить ООО «Эко-Про</w:t>
      </w:r>
      <w:r w:rsidR="00C0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D7B94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07F0C" w:rsidRPr="00623DE8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623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623DE8">
        <w:rPr>
          <w:rFonts w:ascii="Times New Roman" w:hAnsi="Times New Roman" w:cs="Times New Roman"/>
          <w:sz w:val="28"/>
          <w:szCs w:val="28"/>
        </w:rPr>
        <w:t>.</w:t>
      </w:r>
      <w:r w:rsidR="00307F0C"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623DE8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C01263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135C7" w:rsidRPr="004135C7" w:rsidRDefault="00FE7A40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4921">
        <w:rPr>
          <w:rFonts w:ascii="Times New Roman" w:hAnsi="Times New Roman" w:cs="Times New Roman"/>
          <w:sz w:val="28"/>
          <w:szCs w:val="28"/>
        </w:rPr>
        <w:t xml:space="preserve"> </w:t>
      </w:r>
      <w:r w:rsidR="004135C7" w:rsidRPr="004135C7">
        <w:rPr>
          <w:rFonts w:ascii="Times New Roman" w:hAnsi="Times New Roman" w:cs="Times New Roman"/>
          <w:bCs/>
          <w:sz w:val="28"/>
          <w:szCs w:val="28"/>
        </w:rPr>
        <w:t>Признать правильность оформления заявки</w:t>
      </w:r>
      <w:r w:rsidR="004135C7" w:rsidRPr="004135C7">
        <w:rPr>
          <w:rFonts w:ascii="Times New Roman" w:hAnsi="Times New Roman" w:cs="Times New Roman"/>
          <w:sz w:val="28"/>
          <w:szCs w:val="28"/>
        </w:rPr>
        <w:t xml:space="preserve"> </w:t>
      </w:r>
      <w:r w:rsidR="004135C7" w:rsidRPr="004135C7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D4B67" w:rsidRPr="008D4B67">
        <w:rPr>
          <w:rFonts w:ascii="Times New Roman" w:hAnsi="Times New Roman" w:cs="Times New Roman"/>
          <w:bCs/>
          <w:sz w:val="28"/>
          <w:szCs w:val="28"/>
        </w:rPr>
        <w:t>ЗАО «Карелия-Восток-Сервис»</w:t>
      </w:r>
      <w:r w:rsidR="004135C7" w:rsidRPr="004135C7">
        <w:rPr>
          <w:rFonts w:ascii="Times New Roman" w:hAnsi="Times New Roman" w:cs="Times New Roman"/>
          <w:sz w:val="28"/>
          <w:szCs w:val="28"/>
        </w:rPr>
        <w:t>.</w:t>
      </w:r>
    </w:p>
    <w:p w:rsidR="004135C7" w:rsidRPr="004135C7" w:rsidRDefault="004135C7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5C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135C7" w:rsidRPr="004135C7" w:rsidRDefault="004135C7" w:rsidP="004135C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5C7">
        <w:rPr>
          <w:rFonts w:ascii="Times New Roman" w:hAnsi="Times New Roman" w:cs="Times New Roman"/>
          <w:bCs/>
          <w:sz w:val="28"/>
          <w:szCs w:val="28"/>
        </w:rPr>
        <w:t>Принято единогласно.</w:t>
      </w:r>
    </w:p>
    <w:p w:rsidR="00B222BA" w:rsidRDefault="00CD311F" w:rsidP="00B222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572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договорные условия, указ</w:t>
      </w:r>
      <w:r w:rsidR="00B2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анные в заявке ЗАО «Карелия-Восток-Сервис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E30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соответствующими требованиям </w:t>
      </w:r>
      <w:r w:rsidR="00572C67">
        <w:rPr>
          <w:rFonts w:ascii="Times New Roman" w:hAnsi="Times New Roman" w:cs="Times New Roman"/>
          <w:sz w:val="28"/>
          <w:szCs w:val="28"/>
        </w:rPr>
        <w:t>Документации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именно: </w:t>
      </w:r>
      <w:r w:rsidR="008D4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фирменное 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 Товара</w:t>
      </w:r>
      <w:r w:rsidR="00AA1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Ком</w:t>
      </w:r>
      <w:r w:rsidR="009B1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мерческом предложении Участника </w:t>
      </w:r>
      <w:bookmarkStart w:id="0" w:name="_GoBack"/>
      <w:bookmarkEnd w:id="0"/>
      <w:r w:rsidR="00AA1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 w:rsidR="008D4B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фирменному 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наименованию</w:t>
      </w:r>
      <w:r w:rsidR="00E95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46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Товара</w:t>
      </w:r>
      <w:r w:rsidR="00E30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95A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7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указанному в п.3.4. Информационной карты Документации</w:t>
      </w:r>
      <w:r w:rsidR="00AA1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tbl>
      <w:tblPr>
        <w:tblpPr w:leftFromText="180" w:rightFromText="180" w:vertAnchor="text" w:horzAnchor="margin" w:tblpXSpec="center" w:tblpY="320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4111"/>
      </w:tblGrid>
      <w:tr w:rsidR="00124617" w:rsidRPr="00336D47" w:rsidTr="00AA130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Требования Заказчика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124617" w:rsidP="002821A3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Предложение Участника за</w:t>
            </w:r>
            <w:r w:rsidR="002821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купки</w:t>
            </w:r>
          </w:p>
        </w:tc>
      </w:tr>
      <w:tr w:rsidR="00124617" w:rsidRPr="00336D47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numPr>
                <w:ilvl w:val="0"/>
                <w:numId w:val="7"/>
              </w:num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Защитный крем гидрофобного </w:t>
            </w:r>
            <w:r w:rsidR="00124617" w:rsidRPr="00336D47">
              <w:rPr>
                <w:rFonts w:ascii="Times New Roman" w:eastAsia="Times New Roman" w:hAnsi="Times New Roman" w:cs="Times New Roman"/>
                <w:lang w:eastAsia="ar-SA"/>
              </w:rPr>
              <w:t>действия для кожи рук и лица «Линия Защиты</w:t>
            </w:r>
            <w:r w:rsidR="00D419A8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  <w:r w:rsidR="00124617" w:rsidRPr="00336D47">
              <w:rPr>
                <w:rFonts w:ascii="Times New Roman" w:eastAsia="Times New Roman" w:hAnsi="Times New Roman" w:cs="Times New Roman"/>
                <w:lang w:eastAsia="ar-SA"/>
              </w:rPr>
              <w:t xml:space="preserve"> тюбик 100 мл</w:t>
            </w:r>
            <w:r w:rsidR="00124617" w:rsidRPr="00336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4617" w:rsidRPr="00336D47" w:rsidRDefault="00124617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Крем защитный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Eco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Line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гидрофобного действия для кожи рук и лица 100 мл.</w:t>
            </w:r>
          </w:p>
        </w:tc>
      </w:tr>
      <w:tr w:rsidR="00124617" w:rsidRPr="00336D47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5A99">
              <w:rPr>
                <w:rFonts w:ascii="Times New Roman" w:eastAsia="Times New Roman" w:hAnsi="Times New Roman" w:cs="Times New Roman"/>
                <w:lang w:eastAsia="ru-RU"/>
              </w:rPr>
              <w:t>Защитный крем гидрофильного действия для кожи рук и лица «Линия Защиты» тюбик 100 мл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Крем защитный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Eco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Line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гидрофильного действия для кожи рук и лица 100 мл.</w:t>
            </w:r>
          </w:p>
        </w:tc>
      </w:tr>
      <w:tr w:rsidR="00124617" w:rsidRPr="00336D47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5A99">
              <w:rPr>
                <w:rFonts w:ascii="Times New Roman" w:eastAsia="Times New Roman" w:hAnsi="Times New Roman" w:cs="Times New Roman"/>
                <w:lang w:eastAsia="ru-RU"/>
              </w:rPr>
              <w:t>Защитный крем универсального действия для кожи рук и лица «Линия Защиты» тюбик 100 мл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Крем защитный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Eco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Line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универсального действия для кожи рук и лица 100 мл.</w:t>
            </w:r>
          </w:p>
        </w:tc>
      </w:tr>
      <w:tr w:rsidR="00124617" w:rsidRPr="00336D47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5A99">
              <w:rPr>
                <w:rFonts w:ascii="Times New Roman" w:eastAsia="Times New Roman" w:hAnsi="Times New Roman" w:cs="Times New Roman"/>
                <w:lang w:eastAsia="ru-RU"/>
              </w:rPr>
              <w:t>Регенерирующий восстанавливающий крем для кожи рук и лица «Линия Ухода» тюбик 100 мл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Eco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восстанавливающий для кожи рук и лица 100 мл.</w:t>
            </w:r>
          </w:p>
        </w:tc>
      </w:tr>
      <w:tr w:rsidR="00124617" w:rsidRPr="00336D47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5A99">
              <w:rPr>
                <w:rFonts w:ascii="Times New Roman" w:eastAsia="Times New Roman" w:hAnsi="Times New Roman" w:cs="Times New Roman"/>
                <w:lang w:eastAsia="ru-RU"/>
              </w:rPr>
              <w:t>Очищающая паста от особоустойчивых загрязнений «РизаКлинУльтраОчистка» тюбик 200 мл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Pr="00336D47" w:rsidRDefault="00A73986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Паста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Eco</w:t>
            </w:r>
            <w:r w:rsidRPr="00E95A9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для </w:t>
            </w:r>
            <w:r w:rsid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очистки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рук от устойчивых</w:t>
            </w:r>
            <w:r w:rsid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загрязнений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 мл.</w:t>
            </w:r>
          </w:p>
        </w:tc>
      </w:tr>
      <w:tr w:rsidR="00124617" w:rsidRPr="009E684C" w:rsidTr="00AA130D">
        <w:trPr>
          <w:trHeight w:val="4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E95A99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5A99">
              <w:rPr>
                <w:rFonts w:ascii="Times New Roman" w:eastAsia="Times New Roman" w:hAnsi="Times New Roman" w:cs="Times New Roman"/>
                <w:lang w:eastAsia="ru-RU"/>
              </w:rPr>
              <w:t>Защитный лосьон для рук, лица и открытых участков тела от ультрафиолетового излучения «РизаДермУФЗащита» флакон 100 мл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17" w:rsidRDefault="009E684C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Крем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защитный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Safe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and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Care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CAH</w:t>
            </w:r>
            <w:r w:rsidRPr="009E684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 УФ излучения диапаз. А, В и С 100 мл.</w:t>
            </w:r>
          </w:p>
          <w:p w:rsidR="009E684C" w:rsidRPr="009E684C" w:rsidRDefault="009E684C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24617" w:rsidRPr="00336D47" w:rsidTr="00124617">
        <w:trPr>
          <w:trHeight w:val="5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17" w:rsidRPr="00336D47" w:rsidRDefault="00124617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lang w:eastAsia="ar-SA"/>
              </w:rPr>
              <w:t>Аэрозоль от укусов кровососущих насекомых «Протескин ИнсектЛайн» флакон 145 мл</w:t>
            </w:r>
          </w:p>
          <w:p w:rsidR="00124617" w:rsidRPr="00336D47" w:rsidRDefault="00124617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CBA" w:rsidRPr="00336D47" w:rsidRDefault="00C83CBA" w:rsidP="00C83CB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36D47">
              <w:rPr>
                <w:rFonts w:ascii="Times New Roman" w:eastAsia="Times New Roman" w:hAnsi="Times New Roman" w:cs="Times New Roman"/>
                <w:lang w:eastAsia="ar-SA"/>
              </w:rPr>
              <w:t>Аэрозол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lang w:val="en-US" w:eastAsia="ar-SA"/>
              </w:rPr>
              <w:t>Safe</w:t>
            </w:r>
            <w:r w:rsidRPr="00C83CB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ar-SA"/>
              </w:rPr>
              <w:t>and</w:t>
            </w:r>
            <w:r w:rsidRPr="00C83CB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ar-SA"/>
              </w:rPr>
              <w:t>Care</w:t>
            </w:r>
            <w:r w:rsidRPr="00C83CB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ДЭТА специальный</w:t>
            </w:r>
            <w:r w:rsidR="00E30960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124617" w:rsidRPr="00336D47" w:rsidRDefault="00124617" w:rsidP="00AA130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8D4B67" w:rsidRPr="00CD311F" w:rsidRDefault="008D4B67" w:rsidP="00AA130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3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Документации фирменное наименование</w:t>
      </w:r>
      <w:r w:rsidR="00CD311F" w:rsidRPr="00CD3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Товара </w:t>
      </w:r>
      <w:r w:rsidR="00CD3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указано в соответствии с</w:t>
      </w:r>
      <w:r w:rsidRPr="00CD3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п.6.2.4. Положения о закупке товаров, работ, услуг ОАО «Мурманэнергосбыт»</w:t>
      </w:r>
      <w:r w:rsidR="00872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44AB3" w:rsidRPr="005741F7" w:rsidRDefault="00044AB3" w:rsidP="00AA130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44AB3" w:rsidRDefault="00044AB3" w:rsidP="00044A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336D47" w:rsidRDefault="00CD311F" w:rsidP="000F77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36D47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Не допустить ООО «Карелия-Восток-Сервис</w:t>
      </w:r>
      <w:r w:rsidR="00841E05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336D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8713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hAnsi="Times New Roman" w:cs="Times New Roman"/>
          <w:sz w:val="28"/>
          <w:szCs w:val="28"/>
        </w:rPr>
        <w:t>.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231A" w:rsidRPr="00336D47" w:rsidRDefault="00B0344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7E3A" w:rsidRDefault="00D740DF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36D47"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кремов специального назначения</w:t>
      </w:r>
      <w:r w:rsidR="004A7E3A" w:rsidRPr="007A0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 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29C" w:rsidRPr="00336D47" w:rsidRDefault="00AB029C" w:rsidP="00AB0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029C" w:rsidRDefault="00AB029C" w:rsidP="00AB0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7E3A" w:rsidRPr="007A0347" w:rsidRDefault="00AB029C" w:rsidP="004A7E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A7E3A"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 Информационной карты Докумен</w:t>
      </w:r>
      <w:r w:rsidR="00C61D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п. 4.12.3. Документации,</w:t>
      </w:r>
      <w:r w:rsidR="004A7E3A"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7.7.10. Положения о закупке товаров, работ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услуг ОАО «Мурманэнергосбыт» признать запрос цен несостоявшимся </w:t>
      </w:r>
      <w:r w:rsidR="004A7E3A"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рассмотреть возможность заключ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договора с ООО «4С</w:t>
      </w:r>
      <w:r w:rsidR="004A7E3A"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цен, заявка которого соответствует требованиям Документации).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9A50B6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9A50B6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232EFF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0B0899">
      <w:headerReference w:type="default" r:id="rId8"/>
      <w:footerReference w:type="default" r:id="rId9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67" w:rsidRDefault="008D4B67">
      <w:pPr>
        <w:spacing w:after="0" w:line="240" w:lineRule="auto"/>
      </w:pPr>
      <w:r>
        <w:separator/>
      </w:r>
    </w:p>
  </w:endnote>
  <w:endnote w:type="continuationSeparator" w:id="0">
    <w:p w:rsidR="008D4B67" w:rsidRDefault="008D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8D4B67" w:rsidRDefault="008D4B67">
        <w:pPr>
          <w:pStyle w:val="a5"/>
          <w:jc w:val="center"/>
        </w:pPr>
      </w:p>
      <w:p w:rsidR="008D4B67" w:rsidRDefault="009B19B0">
        <w:pPr>
          <w:pStyle w:val="a5"/>
          <w:jc w:val="center"/>
        </w:pPr>
      </w:p>
    </w:sdtContent>
  </w:sdt>
  <w:p w:rsidR="008D4B67" w:rsidRDefault="008D4B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67" w:rsidRDefault="008D4B67">
      <w:pPr>
        <w:spacing w:after="0" w:line="240" w:lineRule="auto"/>
      </w:pPr>
      <w:r>
        <w:separator/>
      </w:r>
    </w:p>
  </w:footnote>
  <w:footnote w:type="continuationSeparator" w:id="0">
    <w:p w:rsidR="008D4B67" w:rsidRDefault="008D4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8D4B67" w:rsidRDefault="008D4B6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9B0">
          <w:rPr>
            <w:noProof/>
          </w:rPr>
          <w:t>4</w:t>
        </w:r>
        <w:r>
          <w:fldChar w:fldCharType="end"/>
        </w:r>
      </w:p>
    </w:sdtContent>
  </w:sdt>
  <w:p w:rsidR="008D4B67" w:rsidRDefault="008D4B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54198"/>
    <w:rsid w:val="00156A8E"/>
    <w:rsid w:val="001605DE"/>
    <w:rsid w:val="00160819"/>
    <w:rsid w:val="00162A14"/>
    <w:rsid w:val="00162D9B"/>
    <w:rsid w:val="00175ACB"/>
    <w:rsid w:val="00187D31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32EFF"/>
    <w:rsid w:val="00241910"/>
    <w:rsid w:val="00243D30"/>
    <w:rsid w:val="0024774D"/>
    <w:rsid w:val="002504DC"/>
    <w:rsid w:val="00253B6A"/>
    <w:rsid w:val="0025436E"/>
    <w:rsid w:val="00257221"/>
    <w:rsid w:val="00265C81"/>
    <w:rsid w:val="00272ED4"/>
    <w:rsid w:val="002821A3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865DE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35C7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94DF2"/>
    <w:rsid w:val="00495097"/>
    <w:rsid w:val="004A0493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56B4"/>
    <w:rsid w:val="005A6281"/>
    <w:rsid w:val="005B3247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19F4"/>
    <w:rsid w:val="006E2243"/>
    <w:rsid w:val="006E5CB0"/>
    <w:rsid w:val="006E65D5"/>
    <w:rsid w:val="006F50FF"/>
    <w:rsid w:val="007013CF"/>
    <w:rsid w:val="007131F5"/>
    <w:rsid w:val="00717E00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233C"/>
    <w:rsid w:val="008630B4"/>
    <w:rsid w:val="00863BC0"/>
    <w:rsid w:val="00870068"/>
    <w:rsid w:val="008727AC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4B67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978DB"/>
    <w:rsid w:val="009A4DD3"/>
    <w:rsid w:val="009A50B6"/>
    <w:rsid w:val="009B19B0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6847"/>
    <w:rsid w:val="00A97083"/>
    <w:rsid w:val="00A97D02"/>
    <w:rsid w:val="00AA130D"/>
    <w:rsid w:val="00AA3369"/>
    <w:rsid w:val="00AA5105"/>
    <w:rsid w:val="00AB029C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AB4"/>
    <w:rsid w:val="00B67C0C"/>
    <w:rsid w:val="00B7013E"/>
    <w:rsid w:val="00B95C0B"/>
    <w:rsid w:val="00B961A6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6629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11F"/>
    <w:rsid w:val="00CD329D"/>
    <w:rsid w:val="00CD5C23"/>
    <w:rsid w:val="00CE15A1"/>
    <w:rsid w:val="00CE3DC8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419A8"/>
    <w:rsid w:val="00D50345"/>
    <w:rsid w:val="00D55134"/>
    <w:rsid w:val="00D62C63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A5C4A"/>
    <w:rsid w:val="00FB2534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79B02-AF81-47B3-BF52-461D27BE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C020-1C3C-4478-BC10-E45707DE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4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Логинова Н.А.</cp:lastModifiedBy>
  <cp:revision>118</cp:revision>
  <cp:lastPrinted>2014-12-23T09:57:00Z</cp:lastPrinted>
  <dcterms:created xsi:type="dcterms:W3CDTF">2014-12-23T10:42:00Z</dcterms:created>
  <dcterms:modified xsi:type="dcterms:W3CDTF">2015-02-26T10:15:00Z</dcterms:modified>
</cp:coreProperties>
</file>